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header4.xml" ContentType="application/vnd.openxmlformats-officedocument.wordprocessingml.header+xml"/>
  <Override PartName="/word/theme/theme1.xml" ContentType="application/vnd.openxmlformats-officedocument.theme+xml"/>
  <Override PartName="/word/_rels/document.xml.rels" ContentType="application/vnd.openxmlformats-package.relationships+xml"/>
  <Override PartName="/word/header5.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jc w:val="both"/>
        <w:rPr/>
      </w:pPr>
      <w:bookmarkStart w:id="0" w:name="_GoBack"/>
      <w:bookmarkEnd w:id="0"/>
      <w:r>
        <w:rPr>
          <w:sz w:val="28"/>
          <w:szCs w:val="28"/>
        </w:rPr>
        <w:t xml:space="preserve">                                                                            </w:t>
      </w:r>
      <w:r>
        <w:rPr>
          <w:sz w:val="28"/>
          <w:szCs w:val="28"/>
        </w:rPr>
        <w:t>Приложение № 1 к приказу</w:t>
      </w:r>
    </w:p>
    <w:p>
      <w:pPr>
        <w:pStyle w:val="Header"/>
        <w:jc w:val="both"/>
        <w:rPr/>
      </w:pPr>
      <w:r>
        <w:rPr>
          <w:sz w:val="28"/>
          <w:szCs w:val="28"/>
        </w:rPr>
        <w:t xml:space="preserve">                                                                            </w:t>
      </w:r>
      <w:r>
        <w:rPr>
          <w:sz w:val="28"/>
          <w:szCs w:val="28"/>
        </w:rPr>
        <w:t xml:space="preserve">ФГКУ «УВО ВНГ России </w:t>
      </w:r>
    </w:p>
    <w:p>
      <w:pPr>
        <w:pStyle w:val="Header"/>
        <w:jc w:val="both"/>
        <w:rPr/>
      </w:pPr>
      <w:r>
        <w:rPr>
          <w:sz w:val="28"/>
          <w:szCs w:val="28"/>
        </w:rPr>
        <w:t xml:space="preserve">                                                                            </w:t>
      </w:r>
      <w:r>
        <w:rPr>
          <w:sz w:val="28"/>
          <w:szCs w:val="28"/>
        </w:rPr>
        <w:t>по Ярославской области»</w:t>
      </w:r>
    </w:p>
    <w:p>
      <w:pPr>
        <w:pStyle w:val="Header"/>
        <w:jc w:val="both"/>
        <w:rPr/>
      </w:pPr>
      <w:r>
        <w:rPr>
          <w:sz w:val="28"/>
          <w:szCs w:val="28"/>
        </w:rPr>
        <w:t xml:space="preserve">                                                                            </w:t>
      </w:r>
      <w:r>
        <w:rPr>
          <w:sz w:val="28"/>
          <w:szCs w:val="28"/>
        </w:rPr>
        <w:t>от ___.___.2024  № ____</w:t>
      </w:r>
    </w:p>
    <w:p>
      <w:pPr>
        <w:pStyle w:val="Heading1"/>
        <w:numPr>
          <w:ilvl w:val="0"/>
          <w:numId w:val="1"/>
        </w:numPr>
        <w:tabs>
          <w:tab w:val="clear" w:pos="936"/>
          <w:tab w:val="left" w:pos="4536" w:leader="none"/>
        </w:tabs>
        <w:ind w:hanging="0" w:right="-1"/>
        <w:jc w:val="both"/>
        <w:rPr>
          <w:b/>
          <w:sz w:val="18"/>
          <w:szCs w:val="18"/>
          <w:lang w:val="ru-RU"/>
        </w:rPr>
      </w:pPr>
      <w:r>
        <w:rPr>
          <w:b/>
          <w:sz w:val="18"/>
          <w:szCs w:val="18"/>
          <w:lang w:val="ru-RU"/>
        </w:rPr>
      </w:r>
    </w:p>
    <w:p>
      <w:pPr>
        <w:pStyle w:val="NoSpacing"/>
        <w:jc w:val="center"/>
        <w:rPr>
          <w:b/>
          <w:sz w:val="22"/>
          <w:szCs w:val="22"/>
        </w:rPr>
      </w:pPr>
      <w:r>
        <w:rPr>
          <w:b/>
          <w:sz w:val="22"/>
          <w:szCs w:val="22"/>
        </w:rPr>
      </w:r>
    </w:p>
    <w:p>
      <w:pPr>
        <w:pStyle w:val="NoSpacing"/>
        <w:jc w:val="center"/>
        <w:rPr/>
      </w:pPr>
      <w:r>
        <w:rPr>
          <w:b/>
          <w:sz w:val="22"/>
          <w:szCs w:val="22"/>
        </w:rPr>
        <w:t>ДОГОВОР</w:t>
      </w:r>
    </w:p>
    <w:p>
      <w:pPr>
        <w:pStyle w:val="11"/>
        <w:ind w:firstLine="284"/>
        <w:jc w:val="center"/>
        <w:rPr/>
      </w:pPr>
      <w:r>
        <w:rPr>
          <w:rFonts w:cs="Times New Roman" w:ascii="Times New Roman" w:hAnsi="Times New Roman"/>
          <w:b/>
          <w:sz w:val="22"/>
          <w:szCs w:val="22"/>
        </w:rPr>
        <w:t xml:space="preserve"> </w:t>
      </w:r>
      <w:r>
        <w:rPr>
          <w:rFonts w:cs="Times New Roman" w:ascii="Times New Roman" w:hAnsi="Times New Roman"/>
          <w:b/>
          <w:sz w:val="22"/>
          <w:szCs w:val="22"/>
        </w:rPr>
        <w:t xml:space="preserve">на оказание услуг по охране объектов с помощью технических средств охраны </w:t>
      </w:r>
    </w:p>
    <w:p>
      <w:pPr>
        <w:pStyle w:val="11"/>
        <w:ind w:firstLine="284"/>
        <w:jc w:val="center"/>
        <w:rPr/>
      </w:pPr>
      <w:r>
        <w:rPr>
          <w:rFonts w:cs="Times New Roman" w:ascii="Times New Roman" w:hAnsi="Times New Roman"/>
          <w:b/>
          <w:sz w:val="22"/>
          <w:szCs w:val="22"/>
        </w:rPr>
        <w:t>и выездов  по сигналу «тревога</w:t>
      </w:r>
      <w:r>
        <w:rPr>
          <w:rFonts w:cs="Times New Roman" w:ascii="Times New Roman" w:hAnsi="Times New Roman"/>
          <w:b/>
          <w:i/>
          <w:sz w:val="22"/>
          <w:szCs w:val="22"/>
        </w:rPr>
        <w:t xml:space="preserve">» </w:t>
      </w:r>
      <w:r>
        <w:rPr>
          <w:rFonts w:cs="Times New Roman" w:ascii="Times New Roman" w:hAnsi="Times New Roman"/>
          <w:b/>
          <w:sz w:val="22"/>
          <w:szCs w:val="22"/>
        </w:rPr>
        <w:t>(ПЦН)</w:t>
      </w:r>
    </w:p>
    <w:p>
      <w:pPr>
        <w:pStyle w:val="11"/>
        <w:ind w:firstLine="284"/>
        <w:rPr>
          <w:rFonts w:ascii="Times New Roman" w:hAnsi="Times New Roman" w:cs="Times New Roman"/>
          <w:b/>
          <w:sz w:val="22"/>
          <w:szCs w:val="22"/>
        </w:rPr>
      </w:pPr>
      <w:r>
        <w:rPr>
          <w:rFonts w:cs="Times New Roman" w:ascii="Times New Roman" w:hAnsi="Times New Roman"/>
          <w:b/>
          <w:sz w:val="22"/>
          <w:szCs w:val="22"/>
        </w:rPr>
      </w:r>
    </w:p>
    <w:p>
      <w:pPr>
        <w:pStyle w:val="11"/>
        <w:rPr/>
      </w:pPr>
      <w:r>
        <w:rPr>
          <w:rFonts w:cs="Times New Roman" w:ascii="Times New Roman" w:hAnsi="Times New Roman"/>
          <w:sz w:val="22"/>
          <w:szCs w:val="22"/>
        </w:rPr>
        <w:t xml:space="preserve">«___»  ____________  20___г.   </w:t>
        <w:tab/>
        <w:tab/>
        <w:t xml:space="preserve">                                             г. ____________</w:t>
      </w:r>
    </w:p>
    <w:p>
      <w:pPr>
        <w:pStyle w:val="11"/>
        <w:ind w:firstLine="284"/>
        <w:rPr>
          <w:rFonts w:ascii="Times New Roman" w:hAnsi="Times New Roman" w:cs="Times New Roman"/>
          <w:sz w:val="22"/>
          <w:szCs w:val="22"/>
        </w:rPr>
      </w:pPr>
      <w:r>
        <w:rPr>
          <w:rFonts w:cs="Times New Roman" w:ascii="Times New Roman" w:hAnsi="Times New Roman"/>
          <w:sz w:val="22"/>
          <w:szCs w:val="22"/>
        </w:rPr>
      </w:r>
    </w:p>
    <w:p>
      <w:pPr>
        <w:pStyle w:val="Normal"/>
        <w:jc w:val="both"/>
        <w:rPr/>
      </w:pPr>
      <w:r>
        <w:rPr>
          <w:sz w:val="22"/>
          <w:szCs w:val="22"/>
        </w:rPr>
        <w:t>_______________________________________________, именуемое в дальнейшем</w:t>
      </w:r>
      <w:r>
        <w:rPr>
          <w:b/>
          <w:sz w:val="22"/>
          <w:szCs w:val="22"/>
        </w:rPr>
        <w:t xml:space="preserve"> «Заказчик», </w:t>
      </w:r>
      <w:r>
        <w:rPr>
          <w:sz w:val="22"/>
          <w:szCs w:val="22"/>
        </w:rPr>
        <w:t xml:space="preserve">в лице ___________________________, действующего на основании _________________________, с одной стороны, и </w:t>
      </w:r>
    </w:p>
    <w:p>
      <w:pPr>
        <w:pStyle w:val="Normal"/>
        <w:ind w:firstLine="426"/>
        <w:jc w:val="both"/>
        <w:rPr/>
      </w:pPr>
      <w:r>
        <w:rPr>
          <w:b/>
          <w:sz w:val="22"/>
          <w:szCs w:val="22"/>
        </w:rPr>
        <w:t>Федеральное государственное казенное учреждение «Управление вневедомственной охраны войск национальной гвардии Российской Федерации по Ярославской области»</w:t>
      </w:r>
      <w:r>
        <w:rPr>
          <w:sz w:val="22"/>
          <w:szCs w:val="22"/>
        </w:rPr>
        <w:t xml:space="preserve">, именуемое в дальнейшем </w:t>
      </w:r>
      <w:r>
        <w:rPr>
          <w:b/>
          <w:sz w:val="22"/>
          <w:szCs w:val="22"/>
        </w:rPr>
        <w:t>«Исполнитель»,</w:t>
      </w:r>
      <w:r>
        <w:rPr>
          <w:sz w:val="22"/>
          <w:szCs w:val="22"/>
        </w:rPr>
        <w:t xml:space="preserve"> в лице начальника _______________, действующего на основании ________________________, с другой стороны, заключили настоящий договор о нижеследующем:</w:t>
      </w:r>
    </w:p>
    <w:p>
      <w:pPr>
        <w:pStyle w:val="Normal"/>
        <w:ind w:firstLine="284"/>
        <w:jc w:val="both"/>
        <w:rPr>
          <w:sz w:val="22"/>
          <w:szCs w:val="22"/>
        </w:rPr>
      </w:pPr>
      <w:r>
        <w:rPr>
          <w:sz w:val="22"/>
          <w:szCs w:val="22"/>
        </w:rPr>
      </w:r>
    </w:p>
    <w:p>
      <w:pPr>
        <w:pStyle w:val="Heading1"/>
        <w:numPr>
          <w:ilvl w:val="0"/>
          <w:numId w:val="1"/>
        </w:numPr>
        <w:ind w:firstLine="284"/>
        <w:rPr/>
      </w:pPr>
      <w:r>
        <w:rPr>
          <w:b/>
          <w:sz w:val="22"/>
          <w:szCs w:val="22"/>
          <w:lang w:val="ru-RU"/>
        </w:rPr>
        <w:t>1. ПРЕДМЕТ ДОГОВОРА</w:t>
      </w:r>
    </w:p>
    <w:p>
      <w:pPr>
        <w:pStyle w:val="Normal"/>
        <w:rPr>
          <w:b/>
          <w:sz w:val="22"/>
          <w:szCs w:val="22"/>
        </w:rPr>
      </w:pPr>
      <w:r>
        <w:rPr>
          <w:b/>
          <w:sz w:val="22"/>
          <w:szCs w:val="22"/>
        </w:rPr>
      </w:r>
    </w:p>
    <w:p>
      <w:pPr>
        <w:pStyle w:val="BodyText"/>
        <w:ind w:firstLine="709"/>
        <w:jc w:val="both"/>
        <w:rPr>
          <w:rFonts w:ascii="Times New Roman" w:hAnsi="Times New Roman" w:eastAsia="Times New Roman" w:cs="Times New Roman"/>
          <w:b w:val="false"/>
          <w:bCs w:val="false"/>
          <w:color w:val="auto"/>
          <w:kern w:val="0"/>
          <w:sz w:val="22"/>
          <w:szCs w:val="22"/>
          <w:lang w:val="ru-RU" w:eastAsia="zh-CN" w:bidi="ar-SA"/>
        </w:rPr>
      </w:pPr>
      <w:r>
        <w:rPr>
          <w:rFonts w:eastAsia="Times New Roman" w:cs="Times New Roman"/>
          <w:b w:val="false"/>
          <w:bCs w:val="false"/>
          <w:color w:val="auto"/>
          <w:kern w:val="0"/>
          <w:sz w:val="22"/>
          <w:szCs w:val="22"/>
          <w:lang w:val="ru-RU" w:eastAsia="zh-CN" w:bidi="ar-SA"/>
        </w:rPr>
        <w:t>1.1.   Для исполнения настоящего договора применяются следующие термины:</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 xml:space="preserve">Объект (охраняемый объект) - сооружение, здание и/или отдельное(ые) помещение(я) Заказчика и находящееся в них имущество Заказчика, подлежащие защите от противоправных посягательств в соответствии с условиями настоящего Договора, на котором(ых) установлены технические средства охраны, подключенные на пульт централизованного наблюдения Исполнителя. Адрес и наименование Объекта(ов) указываются в «Перечне услуг» (Приложение   № 1 к Договору). </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ПЦН - пульт централизованного наблюдения Исполнителя.</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 xml:space="preserve">ТСО (технические средства охраны) - комплекс конструктивно законченных технических средств охраны и объектовой приемопередающей аппаратуры, подключаемых на ПЦН. </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Сдача Объекта под охрану - выполнение штатных действий, предусмотренных инструкциями и правилами эксплуатации ТСО по началу обеспечения охраны Объекта ТСО (постановке Объекта на охрану) посредством ПЦН.</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Снятие Объекта с охраны - выполнение штатных действий, предусмотренных инструкциями и правилами эксплуатации ТСО по окончанию обеспечения охраны Объекта ТСО (снятие Объекта с охраны) посредством ПЦН.</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 xml:space="preserve">Ответственное лицо Заказчика - лицо, входящее в перечень лиц, предоставленный Заказчиком, которому Заказчик передает  полномочия на совершение действий по сдаче Объекта под охрану и снятие с охраны, проведение обследований объекта совместно с представителями «Исполнителя» и обслуживающей организации, подписание актов обследования, выезжать на объекты для установления причин срабатывания сигнализации. </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 xml:space="preserve">Нахождение Объекта под охраной - период времени с момента сдачи Объекта на ПЦН Заказчиком и/или ответственными  лицами Заказчика и взятия Объекта на ПЦН и до момента снятия Объекта с ПЦН. </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b w:val="false"/>
          <w:bCs w:val="false"/>
          <w:color w:val="auto"/>
          <w:kern w:val="0"/>
          <w:sz w:val="22"/>
          <w:szCs w:val="22"/>
          <w:lang w:val="ru-RU" w:eastAsia="zh-CN" w:bidi="ar-SA"/>
        </w:rPr>
        <w:t>Сигнал «тревога» (тревожное сообщение) - сформированное ТСО и переданное на ПЦН сообщение (предупреждение, уведомление) об угрозе опасности охраняемому Объекту.</w:t>
      </w:r>
    </w:p>
    <w:p>
      <w:pPr>
        <w:pStyle w:val="Standard"/>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Наряд вневедомственной охраны  -  группа  сотрудников  Исполнителя в количестве не менее 2 (двух) человек, вооруженных огнестрельным оружием и экипированных  специальными средствами, наделенные полномочиями в соответствии с нормативными правовыми актами Российской Федерации по пресечению совершаемых преступлений, правонарушений и задержанию виновных лиц.</w:t>
      </w:r>
    </w:p>
    <w:p>
      <w:pPr>
        <w:pStyle w:val="BodyText"/>
        <w:ind w:firstLine="709"/>
        <w:jc w:val="both"/>
        <w:rPr/>
      </w:pPr>
      <w:r>
        <w:rPr>
          <w:rFonts w:eastAsia="Times New Roman" w:cs="Times New Roman"/>
          <w:b w:val="false"/>
          <w:bCs w:val="false"/>
          <w:color w:val="auto"/>
          <w:kern w:val="0"/>
          <w:sz w:val="22"/>
          <w:szCs w:val="22"/>
          <w:lang w:val="ru-RU" w:eastAsia="zh-CN" w:bidi="ar-SA"/>
        </w:rPr>
        <w:t>1.2. «Исполнитель» обязуется оказать услуги по по охране объектов</w:t>
      </w:r>
      <w:r>
        <w:rPr>
          <w:rFonts w:eastAsia="Times New Roman" w:cs="Times New Roman"/>
          <w:b w:val="false"/>
          <w:color w:val="auto"/>
          <w:kern w:val="0"/>
          <w:sz w:val="22"/>
          <w:szCs w:val="22"/>
          <w:lang w:val="ru-RU" w:eastAsia="zh-CN" w:bidi="ar-SA"/>
        </w:rPr>
        <w:t xml:space="preserve"> с помощью технических средств охраны и выездов по сигналу «тревога», а «Заказчик» обязуется опла</w:t>
      </w:r>
      <w:r>
        <w:rPr>
          <w:rFonts w:eastAsia="Times New Roman" w:cs="Times New Roman"/>
          <w:b w:val="false"/>
          <w:color w:val="000000"/>
          <w:kern w:val="0"/>
          <w:sz w:val="22"/>
          <w:szCs w:val="22"/>
          <w:shd w:fill="auto" w:val="clear"/>
          <w:lang w:val="ru-RU" w:eastAsia="zh-CN" w:bidi="ar-SA"/>
        </w:rPr>
        <w:t>чивать предоставленные услуги в соответствии с условиями настоящего договора.</w:t>
      </w:r>
    </w:p>
    <w:p>
      <w:pPr>
        <w:pStyle w:val="BodyText"/>
        <w:ind w:firstLine="709"/>
        <w:jc w:val="both"/>
        <w:rPr>
          <w:highlight w:val="none"/>
          <w:shd w:fill="auto" w:val="clear"/>
        </w:rPr>
      </w:pPr>
      <w:r>
        <w:rPr>
          <w:rFonts w:eastAsia="Times New Roman" w:cs="Times New Roman"/>
          <w:b w:val="false"/>
          <w:color w:val="000000"/>
          <w:kern w:val="0"/>
          <w:sz w:val="22"/>
          <w:szCs w:val="22"/>
          <w:shd w:fill="auto" w:val="clear"/>
          <w:lang w:val="ru-RU" w:eastAsia="zh-CN" w:bidi="ar-SA"/>
        </w:rPr>
        <w:t>1.3. Услуги, оказываемые Исполнителем, включают в себя:</w:t>
      </w:r>
    </w:p>
    <w:p>
      <w:pPr>
        <w:pStyle w:val="Normal"/>
        <w:tabs>
          <w:tab w:val="clear" w:pos="936"/>
          <w:tab w:val="left" w:pos="10915" w:leader="none"/>
        </w:tabs>
        <w:ind w:firstLine="709"/>
        <w:jc w:val="both"/>
        <w:rPr>
          <w:highlight w:val="yellow"/>
        </w:rPr>
      </w:pPr>
      <w:r>
        <w:rPr>
          <w:rFonts w:eastAsia="Times New Roman" w:cs="Times New Roman"/>
          <w:b w:val="false"/>
          <w:color w:val="000000"/>
          <w:kern w:val="0"/>
          <w:sz w:val="22"/>
          <w:szCs w:val="22"/>
          <w:shd w:fill="auto" w:val="clear"/>
          <w:lang w:val="ru-RU" w:eastAsia="zh-CN" w:bidi="ar-SA"/>
        </w:rPr>
        <w:t>мониторинг состояния ТСО, установленных на объекте(-ах) Заказчика, подключенных к ПЦН  Исполнителя и указанных в Перечне услуг (Приложен</w:t>
      </w:r>
      <w:r>
        <w:rPr>
          <w:rFonts w:eastAsia="Times New Roman" w:cs="Times New Roman"/>
          <w:b w:val="false"/>
          <w:color w:val="auto"/>
          <w:kern w:val="0"/>
          <w:sz w:val="22"/>
          <w:szCs w:val="22"/>
          <w:lang w:val="ru-RU" w:eastAsia="zh-CN" w:bidi="ar-SA"/>
        </w:rPr>
        <w:t>ие  №1  к  Договору) (далее - Перечень);</w:t>
      </w:r>
    </w:p>
    <w:p>
      <w:pPr>
        <w:pStyle w:val="Normal"/>
        <w:tabs>
          <w:tab w:val="clear" w:pos="936"/>
          <w:tab w:val="left" w:pos="10915" w:leader="none"/>
        </w:tabs>
        <w:ind w:firstLine="709"/>
        <w:jc w:val="both"/>
        <w:rPr>
          <w:rFonts w:ascii="Times New Roman" w:hAnsi="Times New Roman" w:eastAsia="Times New Roman" w:cs="Times New Roman"/>
          <w:b w:val="false"/>
          <w:color w:val="auto"/>
          <w:kern w:val="0"/>
          <w:sz w:val="22"/>
          <w:szCs w:val="22"/>
          <w:lang w:val="ru-RU" w:eastAsia="zh-CN" w:bidi="ar-SA"/>
        </w:rPr>
      </w:pPr>
      <w:r>
        <w:rPr>
          <w:rFonts w:eastAsia="Times New Roman" w:cs="Times New Roman"/>
          <w:b w:val="false"/>
          <w:color w:val="auto"/>
          <w:kern w:val="0"/>
          <w:sz w:val="22"/>
          <w:szCs w:val="22"/>
          <w:lang w:val="ru-RU" w:eastAsia="zh-CN" w:bidi="ar-SA"/>
        </w:rPr>
        <w:t>прием тревожных сообщений, поступающих на ПЦН Исполнителя с ТСО,  установленных на  объекте(-ах) Заказчика;</w:t>
      </w:r>
    </w:p>
    <w:p>
      <w:pPr>
        <w:pStyle w:val="BodyText"/>
        <w:ind w:firstLine="709"/>
        <w:jc w:val="both"/>
        <w:rPr>
          <w:rFonts w:ascii="Times New Roman" w:hAnsi="Times New Roman" w:eastAsia="Times New Roman" w:cs="Times New Roman"/>
          <w:b w:val="false"/>
          <w:color w:val="auto"/>
          <w:kern w:val="0"/>
          <w:sz w:val="22"/>
          <w:szCs w:val="22"/>
          <w:lang w:val="ru-RU" w:eastAsia="zh-CN" w:bidi="ar-SA"/>
        </w:rPr>
      </w:pPr>
      <w:r>
        <w:rPr>
          <w:rFonts w:eastAsia="Times New Roman" w:cs="Times New Roman"/>
          <w:b w:val="false"/>
          <w:color w:val="auto"/>
          <w:kern w:val="0"/>
          <w:sz w:val="22"/>
          <w:szCs w:val="22"/>
          <w:lang w:val="ru-RU" w:eastAsia="zh-CN" w:bidi="ar-SA"/>
        </w:rPr>
        <w:t xml:space="preserve">экстренный выезд на объект «Заказчика» наряда вневедомственной охраны при поступлении на ПЦН тревожного сообщения, сформированного ТСО, для пресечения противоправных действий на объекте «Заказчика». </w:t>
      </w:r>
    </w:p>
    <w:p>
      <w:pPr>
        <w:pStyle w:val="BodyText"/>
        <w:ind w:firstLine="709"/>
        <w:jc w:val="both"/>
        <w:rPr>
          <w:rFonts w:ascii="Times New Roman" w:hAnsi="Times New Roman" w:eastAsia="Times New Roman" w:cs="Times New Roman"/>
          <w:b w:val="false"/>
          <w:color w:val="auto"/>
          <w:kern w:val="0"/>
          <w:sz w:val="22"/>
          <w:szCs w:val="22"/>
          <w:lang w:val="ru-RU" w:eastAsia="zh-CN" w:bidi="ar-SA"/>
        </w:rPr>
      </w:pPr>
      <w:r>
        <w:rPr>
          <w:rFonts w:eastAsia="Times New Roman" w:cs="Times New Roman"/>
          <w:b w:val="false"/>
          <w:color w:val="auto"/>
          <w:kern w:val="0"/>
          <w:sz w:val="22"/>
          <w:szCs w:val="22"/>
          <w:lang w:val="ru-RU" w:eastAsia="zh-CN" w:bidi="ar-SA"/>
        </w:rPr>
        <w:t xml:space="preserve">1.4. Принимаемые под охрану объекты оборудуются средствами охранной </w:t>
      </w:r>
      <w:r>
        <w:rPr>
          <w:rFonts w:eastAsia="Times New Roman" w:cs="Times New Roman"/>
          <w:b w:val="false"/>
          <w:color w:val="000000"/>
          <w:kern w:val="0"/>
          <w:sz w:val="22"/>
          <w:szCs w:val="22"/>
          <w:shd w:fill="auto" w:val="clear"/>
          <w:lang w:val="ru-RU" w:eastAsia="zh-CN" w:bidi="ar-SA"/>
        </w:rPr>
        <w:t>(охранно-пожарной)</w:t>
      </w:r>
      <w:r>
        <w:rPr>
          <w:rFonts w:eastAsia="Times New Roman" w:cs="Times New Roman"/>
          <w:b w:val="false"/>
          <w:color w:val="auto"/>
          <w:kern w:val="0"/>
          <w:sz w:val="22"/>
          <w:szCs w:val="22"/>
          <w:lang w:val="ru-RU" w:eastAsia="zh-CN" w:bidi="ar-SA"/>
        </w:rPr>
        <w:t xml:space="preserve"> сигнализации и подключаются к ПЦН «Исполнителя» с использованием линии телефонной связи, канала «Ethernet», GSM либо радиопередающей аппаратуры.</w:t>
      </w:r>
    </w:p>
    <w:p>
      <w:pPr>
        <w:pStyle w:val="BodyText"/>
        <w:ind w:firstLine="709"/>
        <w:jc w:val="both"/>
        <w:rPr>
          <w:rFonts w:ascii="Times New Roman" w:hAnsi="Times New Roman" w:eastAsia="Times New Roman" w:cs="Times New Roman"/>
          <w:b w:val="false"/>
          <w:color w:val="auto"/>
          <w:kern w:val="0"/>
          <w:sz w:val="22"/>
          <w:szCs w:val="22"/>
          <w:lang w:val="ru-RU" w:eastAsia="zh-CN" w:bidi="ar-SA"/>
        </w:rPr>
      </w:pPr>
      <w:r>
        <w:rPr>
          <w:rFonts w:eastAsia="Times New Roman" w:cs="Times New Roman"/>
          <w:b w:val="false"/>
          <w:color w:val="auto"/>
          <w:kern w:val="0"/>
          <w:sz w:val="22"/>
          <w:szCs w:val="22"/>
          <w:lang w:val="ru-RU" w:eastAsia="zh-CN" w:bidi="ar-SA"/>
        </w:rPr>
      </w:r>
    </w:p>
    <w:p>
      <w:pPr>
        <w:pStyle w:val="Normal"/>
        <w:ind w:firstLine="709"/>
        <w:jc w:val="center"/>
        <w:rPr>
          <w:sz w:val="22"/>
          <w:szCs w:val="22"/>
        </w:rPr>
      </w:pPr>
      <w:r>
        <w:rPr>
          <w:b/>
          <w:sz w:val="22"/>
          <w:szCs w:val="22"/>
        </w:rPr>
        <w:t>2. ОБЩИЕ ПОЛОЖЕНИЯ</w:t>
      </w:r>
    </w:p>
    <w:p>
      <w:pPr>
        <w:pStyle w:val="BodyText"/>
        <w:ind w:firstLine="709"/>
        <w:jc w:val="both"/>
        <w:rPr/>
      </w:pPr>
      <w:r>
        <w:rPr>
          <w:b w:val="false"/>
          <w:sz w:val="22"/>
          <w:szCs w:val="22"/>
        </w:rPr>
        <w:t>2.1. При заключении договора «Заказчик» представляет «Исполнителю» надлежащим образом заверенные:</w:t>
      </w:r>
    </w:p>
    <w:p>
      <w:pPr>
        <w:pStyle w:val="Normal"/>
        <w:ind w:firstLine="709"/>
        <w:jc w:val="both"/>
        <w:rPr>
          <w:sz w:val="22"/>
          <w:szCs w:val="22"/>
        </w:rPr>
      </w:pPr>
      <w:r>
        <w:rPr>
          <w:sz w:val="22"/>
          <w:szCs w:val="22"/>
        </w:rPr>
        <w:t>2.1.1. Копии учредительных документов организации, копию свидетельства о регистрации в качестве юридического лица (индивидуального предпринимателя), копию свидетельства о постановке на учет в налоговом органе;</w:t>
      </w:r>
      <w:r>
        <w:rPr>
          <w:b/>
          <w:sz w:val="22"/>
          <w:szCs w:val="22"/>
        </w:rPr>
        <w:t xml:space="preserve"> </w:t>
      </w:r>
      <w:r>
        <w:rPr>
          <w:sz w:val="22"/>
          <w:szCs w:val="22"/>
        </w:rPr>
        <w:t xml:space="preserve">для самозанятых – паспорт, выписку из ЕГРН, справку о постановке на учет в качестве плательщика налога на профессиональный доход. </w:t>
      </w:r>
    </w:p>
    <w:p>
      <w:pPr>
        <w:pStyle w:val="BodyText"/>
        <w:ind w:firstLine="709"/>
        <w:jc w:val="both"/>
        <w:rPr/>
      </w:pPr>
      <w:r>
        <w:rPr>
          <w:b w:val="false"/>
          <w:sz w:val="22"/>
          <w:szCs w:val="22"/>
        </w:rPr>
        <w:t>2.1.2. Копию лицензии на право осуществления юридическим лицом или индивидуальным предпринимателем конкретного вида деятельности, в случаях, предусмотренных Федеральным законом от 4 мая 2011 г. № 99-ФЗ «О лицензировании отдельных видов деятельности».</w:t>
      </w:r>
    </w:p>
    <w:p>
      <w:pPr>
        <w:pStyle w:val="LO-Normal"/>
        <w:ind w:firstLine="709"/>
        <w:jc w:val="both"/>
        <w:rPr/>
      </w:pPr>
      <w:r>
        <w:rPr>
          <w:sz w:val="22"/>
          <w:szCs w:val="22"/>
        </w:rPr>
        <w:t xml:space="preserve">2.1.3. Копии документов, подтверждающих право «Заказчика» на владение, пользование, распоряжение объектами, принимаемыми под наблюдение по настоящему договору. </w:t>
      </w:r>
    </w:p>
    <w:p>
      <w:pPr>
        <w:pStyle w:val="LO-Normal"/>
        <w:ind w:firstLine="709"/>
        <w:jc w:val="both"/>
        <w:rPr/>
      </w:pPr>
      <w:r>
        <w:rPr>
          <w:sz w:val="22"/>
          <w:szCs w:val="22"/>
        </w:rPr>
        <w:t>2.1.4. Копии документов, подтверждающих полномочия лица на подписание договора.</w:t>
      </w:r>
    </w:p>
    <w:p>
      <w:pPr>
        <w:pStyle w:val="LO-Normal"/>
        <w:ind w:firstLine="709"/>
        <w:jc w:val="both"/>
        <w:rPr/>
      </w:pPr>
      <w:r>
        <w:rPr>
          <w:sz w:val="22"/>
          <w:szCs w:val="22"/>
        </w:rPr>
        <w:t>2.1</w:t>
      </w:r>
      <w:r>
        <w:rPr>
          <w:sz w:val="22"/>
          <w:szCs w:val="22"/>
          <w:shd w:fill="auto" w:val="clear"/>
        </w:rPr>
        <w:t xml:space="preserve">.5. Список </w:t>
      </w:r>
      <w:r>
        <w:rPr>
          <w:strike w:val="false"/>
          <w:dstrike w:val="false"/>
          <w:sz w:val="22"/>
          <w:szCs w:val="22"/>
          <w:shd w:fill="auto" w:val="clear"/>
        </w:rPr>
        <w:t xml:space="preserve">ответственных лиц  Заказчика </w:t>
      </w:r>
      <w:r>
        <w:rPr>
          <w:sz w:val="22"/>
          <w:szCs w:val="22"/>
          <w:shd w:fill="auto" w:val="clear"/>
        </w:rPr>
        <w:t xml:space="preserve">с их домашними </w:t>
      </w:r>
      <w:r>
        <w:rPr>
          <w:sz w:val="22"/>
          <w:szCs w:val="22"/>
        </w:rPr>
        <w:t>адресами и контактными телефонами.</w:t>
      </w:r>
    </w:p>
    <w:p>
      <w:pPr>
        <w:pStyle w:val="BodyTextIndent"/>
        <w:tabs>
          <w:tab w:val="clear" w:pos="936"/>
          <w:tab w:val="left" w:pos="709" w:leader="none"/>
        </w:tabs>
        <w:spacing w:before="0" w:after="0"/>
        <w:ind w:firstLine="709" w:left="0"/>
        <w:jc w:val="both"/>
        <w:rPr/>
      </w:pPr>
      <w:r>
        <w:rPr>
          <w:rFonts w:cs="Times New Roman" w:ascii="Times New Roman" w:hAnsi="Times New Roman"/>
          <w:sz w:val="22"/>
          <w:szCs w:val="22"/>
        </w:rPr>
        <w:t xml:space="preserve">2.1.6. План-схему объекта с экспликацией помещений и указанием, какие из них подлежат наблюдению. </w:t>
      </w:r>
    </w:p>
    <w:p>
      <w:pPr>
        <w:pStyle w:val="BodyTextIndent"/>
        <w:tabs>
          <w:tab w:val="clear" w:pos="936"/>
          <w:tab w:val="left" w:pos="709" w:leader="none"/>
        </w:tabs>
        <w:spacing w:before="0" w:after="0"/>
        <w:ind w:firstLine="709" w:left="0"/>
        <w:jc w:val="both"/>
        <w:rPr/>
      </w:pPr>
      <w:r>
        <w:rPr>
          <w:rFonts w:cs="Times New Roman" w:ascii="Times New Roman" w:hAnsi="Times New Roman"/>
          <w:sz w:val="22"/>
          <w:szCs w:val="22"/>
        </w:rPr>
        <w:t xml:space="preserve">2.2. Техническое состояние и укрепленность принимаемых и принятых под наблюдение объектов, их оснащенность ТСО, дополнительная потребность в этих средствах, соответствие режима наблюдения предъявляемым требованиям, рекомендациям и указания по устранению выявленных недостатков определяются «Исполнителем» и фиксируются в актах, составляемых при заключении договора, и в последующем, при проведении обследований. Указания «Исполнителя» по соблюдению установленного режима наблюдения, усилению технической укрепленности объекта, внедрению и содержанию ТСО являются обязательными для «Заказчика». </w:t>
      </w:r>
    </w:p>
    <w:p>
      <w:pPr>
        <w:pStyle w:val="BodyTextIndent"/>
        <w:tabs>
          <w:tab w:val="clear" w:pos="936"/>
          <w:tab w:val="left" w:pos="709" w:leader="none"/>
        </w:tabs>
        <w:spacing w:before="0" w:after="0"/>
        <w:ind w:firstLine="709" w:left="0"/>
        <w:jc w:val="both"/>
        <w:rPr>
          <w:strike/>
          <w:highlight w:val="none"/>
          <w:shd w:fill="FFFF00" w:val="clear"/>
        </w:rPr>
      </w:pPr>
      <w:r>
        <w:rPr>
          <w:rFonts w:cs="Times New Roman" w:ascii="Times New Roman" w:hAnsi="Times New Roman"/>
          <w:strike/>
          <w:sz w:val="22"/>
          <w:szCs w:val="22"/>
          <w:shd w:fill="FFFF00" w:val="clear"/>
        </w:rPr>
        <w:t xml:space="preserve">2.3. Услуги оказываются в дни и часы, указанные в прилагаемом к договору Перечне.  </w:t>
      </w:r>
    </w:p>
    <w:p>
      <w:pPr>
        <w:pStyle w:val="BodyTextIndent"/>
        <w:tabs>
          <w:tab w:val="clear" w:pos="936"/>
          <w:tab w:val="left" w:pos="709" w:leader="none"/>
        </w:tabs>
        <w:spacing w:before="0" w:after="0"/>
        <w:ind w:firstLine="709" w:left="0"/>
        <w:jc w:val="both"/>
        <w:rPr/>
      </w:pPr>
      <w:r>
        <w:rPr>
          <w:rFonts w:cs="Times New Roman" w:ascii="Times New Roman" w:hAnsi="Times New Roman"/>
          <w:sz w:val="22"/>
          <w:szCs w:val="22"/>
        </w:rPr>
        <w:t>2.4. «Исполнителю» обеспечивается свободный доступ к установленным на объектах средствам сигнализации.</w:t>
      </w:r>
    </w:p>
    <w:p>
      <w:pPr>
        <w:pStyle w:val="BodyTextIndent"/>
        <w:tabs>
          <w:tab w:val="clear" w:pos="936"/>
          <w:tab w:val="left" w:pos="709" w:leader="none"/>
        </w:tabs>
        <w:spacing w:before="0" w:after="0"/>
        <w:ind w:firstLine="709" w:left="0"/>
        <w:jc w:val="both"/>
        <w:rPr/>
      </w:pPr>
      <w:r>
        <w:rPr>
          <w:rFonts w:cs="Times New Roman" w:ascii="Times New Roman" w:hAnsi="Times New Roman"/>
          <w:sz w:val="22"/>
          <w:szCs w:val="22"/>
        </w:rPr>
        <w:t>2.5. Условия настоящего договора не распространяются на третьих лиц (арендаторов и т.п.).</w:t>
      </w:r>
    </w:p>
    <w:p>
      <w:pPr>
        <w:pStyle w:val="31"/>
        <w:tabs>
          <w:tab w:val="clear" w:pos="936"/>
          <w:tab w:val="left" w:pos="1134" w:leader="none"/>
        </w:tabs>
        <w:spacing w:before="0" w:after="0"/>
        <w:ind w:firstLine="709" w:left="0"/>
        <w:jc w:val="both"/>
        <w:rPr>
          <w:color w:val="auto"/>
          <w:highlight w:val="none"/>
          <w:shd w:fill="auto" w:val="clear"/>
        </w:rPr>
      </w:pPr>
      <w:r>
        <w:rPr>
          <w:color w:val="000000"/>
          <w:sz w:val="22"/>
          <w:szCs w:val="22"/>
          <w:shd w:fill="auto" w:val="clear"/>
        </w:rPr>
        <w:t>2.6. Услуги по договору оказываются только в отношении объектов, принятых под охрану. Объекты считаются принятыми под охрану при выполнении следующих условий:</w:t>
      </w:r>
    </w:p>
    <w:p>
      <w:pPr>
        <w:pStyle w:val="31"/>
        <w:tabs>
          <w:tab w:val="clear" w:pos="936"/>
          <w:tab w:val="left" w:pos="1134" w:leader="none"/>
        </w:tabs>
        <w:spacing w:before="0" w:after="0"/>
        <w:ind w:firstLine="709" w:left="0"/>
        <w:jc w:val="both"/>
        <w:rPr/>
      </w:pPr>
      <w:r>
        <w:rPr>
          <w:color w:val="000000"/>
          <w:sz w:val="22"/>
          <w:szCs w:val="22"/>
          <w:shd w:fill="auto" w:val="clear"/>
        </w:rPr>
        <w:t>2.6.1. При исправной телефонной линии, канала «</w:t>
      </w:r>
      <w:r>
        <w:rPr>
          <w:bCs/>
          <w:color w:val="000000"/>
          <w:sz w:val="22"/>
          <w:szCs w:val="22"/>
          <w:shd w:fill="auto" w:val="clear"/>
          <w:lang w:val="en-US"/>
        </w:rPr>
        <w:t>Ethernet</w:t>
      </w:r>
      <w:r>
        <w:rPr>
          <w:bCs/>
          <w:color w:val="000000"/>
          <w:sz w:val="22"/>
          <w:szCs w:val="22"/>
          <w:shd w:fill="auto" w:val="clear"/>
        </w:rPr>
        <w:t>»</w:t>
      </w:r>
      <w:r>
        <w:rPr>
          <w:color w:val="000000"/>
          <w:sz w:val="22"/>
          <w:szCs w:val="22"/>
          <w:shd w:fill="auto" w:val="clear"/>
        </w:rPr>
        <w:t xml:space="preserve">, </w:t>
      </w:r>
      <w:r>
        <w:rPr>
          <w:color w:val="000000"/>
          <w:sz w:val="22"/>
          <w:szCs w:val="22"/>
          <w:shd w:fill="auto" w:val="clear"/>
          <w:lang w:val="en-US"/>
        </w:rPr>
        <w:t>GSM</w:t>
      </w:r>
      <w:r>
        <w:rPr>
          <w:color w:val="000000"/>
          <w:sz w:val="22"/>
          <w:szCs w:val="22"/>
          <w:shd w:fill="auto" w:val="clear"/>
        </w:rPr>
        <w:t>, ради</w:t>
      </w:r>
      <w:r>
        <w:rPr>
          <w:sz w:val="22"/>
          <w:szCs w:val="22"/>
        </w:rPr>
        <w:t>опередающего устройства, используемых для вывода информации о состоянии ТСО на  ПЦН, исправности энергоснабжения объекта и установленных ТСО.</w:t>
      </w:r>
    </w:p>
    <w:p>
      <w:pPr>
        <w:pStyle w:val="31"/>
        <w:tabs>
          <w:tab w:val="clear" w:pos="936"/>
          <w:tab w:val="left" w:pos="1134" w:leader="none"/>
        </w:tabs>
        <w:spacing w:before="0" w:after="0"/>
        <w:ind w:firstLine="709" w:left="0"/>
        <w:jc w:val="both"/>
        <w:rPr>
          <w:highlight w:val="none"/>
          <w:shd w:fill="auto" w:val="clear"/>
        </w:rPr>
      </w:pPr>
      <w:r>
        <w:rPr>
          <w:sz w:val="22"/>
          <w:szCs w:val="22"/>
          <w:shd w:fill="auto" w:val="clear"/>
        </w:rPr>
        <w:t>2.6.2. При надлежащем исполнении «Заказчиком» условий, предусмотренных п.п. 4.2.3.–4.2.11. настоящего договора.</w:t>
      </w:r>
    </w:p>
    <w:p>
      <w:pPr>
        <w:pStyle w:val="31"/>
        <w:tabs>
          <w:tab w:val="clear" w:pos="936"/>
          <w:tab w:val="left" w:pos="567" w:leader="none"/>
          <w:tab w:val="left" w:pos="1134" w:leader="none"/>
        </w:tabs>
        <w:spacing w:before="0" w:after="0"/>
        <w:ind w:firstLine="709" w:left="0"/>
        <w:jc w:val="both"/>
        <w:rPr/>
      </w:pPr>
      <w:r>
        <w:rPr>
          <w:sz w:val="22"/>
          <w:szCs w:val="22"/>
          <w:shd w:fill="auto" w:val="clear"/>
        </w:rPr>
        <w:t xml:space="preserve">2.7. Услуги не оказываются в отношении объектов, снятых с </w:t>
      </w:r>
      <w:r>
        <w:rPr>
          <w:strike w:val="false"/>
          <w:dstrike w:val="false"/>
          <w:sz w:val="22"/>
          <w:szCs w:val="22"/>
          <w:shd w:fill="auto" w:val="clear"/>
        </w:rPr>
        <w:t xml:space="preserve">охраны </w:t>
      </w:r>
      <w:r>
        <w:rPr>
          <w:sz w:val="22"/>
          <w:szCs w:val="22"/>
          <w:shd w:fill="auto" w:val="clear"/>
        </w:rPr>
        <w:t xml:space="preserve">или не принятых под </w:t>
      </w:r>
      <w:r>
        <w:rPr>
          <w:strike w:val="false"/>
          <w:dstrike w:val="false"/>
          <w:sz w:val="22"/>
          <w:szCs w:val="22"/>
          <w:shd w:fill="auto" w:val="clear"/>
        </w:rPr>
        <w:t xml:space="preserve">охрану. </w:t>
      </w:r>
      <w:r>
        <w:rPr>
          <w:sz w:val="22"/>
          <w:szCs w:val="22"/>
          <w:shd w:fill="auto" w:val="clear"/>
        </w:rPr>
        <w:t>Объекты (по</w:t>
      </w:r>
      <w:r>
        <w:rPr>
          <w:sz w:val="22"/>
          <w:szCs w:val="22"/>
        </w:rPr>
        <w:t>мещения) считаются снятыми с наблюдения или не принятыми под наблюдение в следующих случаях:</w:t>
      </w:r>
    </w:p>
    <w:p>
      <w:pPr>
        <w:pStyle w:val="31"/>
        <w:spacing w:before="0" w:after="0"/>
        <w:ind w:firstLine="709" w:left="0"/>
        <w:jc w:val="both"/>
        <w:rPr/>
      </w:pPr>
      <w:r>
        <w:rPr>
          <w:sz w:val="22"/>
          <w:szCs w:val="22"/>
        </w:rPr>
        <w:t>2.7.1. При снятии объектов (помещений) с</w:t>
      </w:r>
      <w:r>
        <w:rPr>
          <w:sz w:val="22"/>
          <w:szCs w:val="22"/>
          <w:shd w:fill="auto" w:val="clear"/>
        </w:rPr>
        <w:t xml:space="preserve"> охраны ответственным лицом «</w:t>
      </w:r>
      <w:r>
        <w:rPr>
          <w:sz w:val="22"/>
          <w:szCs w:val="22"/>
        </w:rPr>
        <w:t>Заказчика» в установленном порядке (с помощью кода или электронного ключа).</w:t>
      </w:r>
    </w:p>
    <w:p>
      <w:pPr>
        <w:pStyle w:val="31"/>
        <w:spacing w:before="0" w:after="0"/>
        <w:ind w:firstLine="709" w:left="0"/>
        <w:jc w:val="both"/>
        <w:rPr>
          <w:highlight w:val="none"/>
          <w:shd w:fill="auto" w:val="clear"/>
        </w:rPr>
      </w:pPr>
      <w:r>
        <w:rPr>
          <w:sz w:val="22"/>
          <w:szCs w:val="22"/>
          <w:shd w:fill="auto" w:val="clear"/>
        </w:rPr>
        <w:t>2.7.2. При невыполнении условий сдачи объектов (помещений) под охрану (п. 2.6. договора).</w:t>
      </w:r>
    </w:p>
    <w:p>
      <w:pPr>
        <w:pStyle w:val="31"/>
        <w:spacing w:before="0" w:after="0"/>
        <w:ind w:firstLine="709" w:left="0"/>
        <w:jc w:val="both"/>
        <w:rPr>
          <w:strike/>
          <w:highlight w:val="none"/>
          <w:u w:val="single"/>
          <w:shd w:fill="FFFF00" w:val="clear"/>
        </w:rPr>
      </w:pPr>
      <w:r>
        <w:rPr>
          <w:strike/>
          <w:sz w:val="22"/>
          <w:szCs w:val="22"/>
          <w:u w:val="single"/>
          <w:shd w:fill="FFFF00" w:val="clear"/>
        </w:rPr>
        <w:t>2.7.3. По истечении времени, указанного в Перечне услуг.</w:t>
      </w:r>
    </w:p>
    <w:p>
      <w:pPr>
        <w:pStyle w:val="31"/>
        <w:spacing w:before="0" w:after="0"/>
        <w:ind w:firstLine="709" w:left="0"/>
        <w:jc w:val="both"/>
        <w:rPr/>
      </w:pPr>
      <w:r>
        <w:rPr>
          <w:sz w:val="22"/>
          <w:szCs w:val="22"/>
        </w:rPr>
        <w:t>2.7.4. При возникновении не зависящих от «Исполнителя» технических причин, препятствующих осуществлению «Исполнителем» централизованного наблюдения за ТСО, установленными на объекте (неисправность телефонной линии, неисправность канала «</w:t>
      </w:r>
      <w:r>
        <w:rPr>
          <w:bCs/>
          <w:color w:val="000000"/>
          <w:sz w:val="22"/>
          <w:szCs w:val="22"/>
          <w:lang w:val="en-US"/>
        </w:rPr>
        <w:t>Ethernet</w:t>
      </w:r>
      <w:r>
        <w:rPr>
          <w:bCs/>
          <w:color w:val="000000"/>
          <w:sz w:val="22"/>
          <w:szCs w:val="22"/>
        </w:rPr>
        <w:t>»</w:t>
      </w:r>
      <w:r>
        <w:rPr>
          <w:color w:val="000000"/>
          <w:sz w:val="22"/>
          <w:szCs w:val="22"/>
        </w:rPr>
        <w:t>,</w:t>
      </w:r>
      <w:r>
        <w:rPr>
          <w:sz w:val="22"/>
          <w:szCs w:val="22"/>
        </w:rPr>
        <w:t xml:space="preserve"> </w:t>
      </w:r>
      <w:r>
        <w:rPr>
          <w:sz w:val="22"/>
          <w:szCs w:val="22"/>
          <w:lang w:val="en-US"/>
        </w:rPr>
        <w:t>GSM</w:t>
      </w:r>
      <w:r>
        <w:rPr>
          <w:sz w:val="22"/>
          <w:szCs w:val="22"/>
        </w:rPr>
        <w:t>, изменение параметров линии связи, используемой в качестве канала передачи сообщени</w:t>
      </w:r>
      <w:r>
        <w:rPr>
          <w:rFonts w:eastAsia="Times New Roman" w:cs="Times New Roman"/>
          <w:color w:val="000000"/>
          <w:kern w:val="0"/>
          <w:sz w:val="22"/>
          <w:szCs w:val="22"/>
          <w:shd w:fill="auto" w:val="clear"/>
          <w:lang w:val="ru-RU" w:eastAsia="zh-CN" w:bidi="ar-SA"/>
        </w:rPr>
        <w:t>й о состоянии ТСО, не позволяющих осуществлять централизованное наблюдение за состоянием ТСО,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электроснабжения на объекте.</w:t>
      </w:r>
    </w:p>
    <w:p>
      <w:pPr>
        <w:pStyle w:val="31"/>
        <w:spacing w:before="0" w:after="0"/>
        <w:ind w:firstLine="709" w:left="0"/>
        <w:jc w:val="both"/>
        <w:rPr>
          <w:rFonts w:ascii="Times New Roman" w:hAnsi="Times New Roman" w:eastAsia="Times New Roman" w:cs="Times New Roman"/>
          <w:color w:val="auto"/>
          <w:kern w:val="0"/>
          <w:sz w:val="22"/>
          <w:szCs w:val="22"/>
          <w:highlight w:val="none"/>
          <w:shd w:fill="auto" w:val="clear"/>
          <w:lang w:val="ru-RU" w:eastAsia="zh-CN" w:bidi="ar-SA"/>
        </w:rPr>
      </w:pPr>
      <w:r>
        <w:rPr>
          <w:rFonts w:eastAsia="Times New Roman" w:cs="Times New Roman"/>
          <w:color w:val="000000"/>
          <w:kern w:val="0"/>
          <w:sz w:val="22"/>
          <w:szCs w:val="22"/>
          <w:shd w:fill="auto" w:val="clear"/>
          <w:lang w:val="ru-RU" w:eastAsia="zh-CN" w:bidi="ar-SA"/>
        </w:rPr>
      </w:r>
    </w:p>
    <w:p>
      <w:pPr>
        <w:pStyle w:val="31"/>
        <w:spacing w:before="0" w:after="0"/>
        <w:ind w:firstLine="709" w:left="0"/>
        <w:jc w:val="both"/>
        <w:rPr>
          <w:sz w:val="22"/>
          <w:szCs w:val="22"/>
        </w:rPr>
      </w:pPr>
      <w:r>
        <w:rPr>
          <w:sz w:val="22"/>
          <w:szCs w:val="22"/>
        </w:rPr>
      </w:r>
    </w:p>
    <w:p>
      <w:pPr>
        <w:pStyle w:val="Normal"/>
        <w:ind w:firstLine="709"/>
        <w:jc w:val="center"/>
        <w:rPr>
          <w:sz w:val="22"/>
          <w:szCs w:val="22"/>
        </w:rPr>
      </w:pPr>
      <w:r>
        <w:rPr>
          <w:b/>
          <w:sz w:val="22"/>
          <w:szCs w:val="22"/>
        </w:rPr>
        <w:t>3. ПРАВА И ОБЯЗАННОСТИ «ИСПОЛНИТЕЛЯ»</w:t>
      </w:r>
    </w:p>
    <w:p>
      <w:pPr>
        <w:pStyle w:val="Normal"/>
        <w:ind w:firstLine="709"/>
        <w:jc w:val="center"/>
        <w:rPr>
          <w:b/>
          <w:sz w:val="22"/>
          <w:szCs w:val="22"/>
        </w:rPr>
      </w:pPr>
      <w:r>
        <w:rPr>
          <w:b/>
          <w:sz w:val="22"/>
          <w:szCs w:val="22"/>
        </w:rPr>
      </w:r>
    </w:p>
    <w:p>
      <w:pPr>
        <w:pStyle w:val="31"/>
        <w:tabs>
          <w:tab w:val="clear" w:pos="936"/>
          <w:tab w:val="left" w:pos="851" w:leader="none"/>
        </w:tabs>
        <w:spacing w:before="0" w:after="0"/>
        <w:ind w:firstLine="709" w:left="0"/>
        <w:jc w:val="both"/>
        <w:rPr>
          <w:rFonts w:ascii="Times New Roman" w:hAnsi="Times New Roman" w:eastAsia="Times New Roman" w:cs="Times New Roman"/>
          <w:color w:val="auto"/>
          <w:kern w:val="0"/>
          <w:sz w:val="22"/>
          <w:szCs w:val="22"/>
          <w:highlight w:val="none"/>
          <w:shd w:fill="auto" w:val="clear"/>
          <w:lang w:val="ru-RU" w:eastAsia="zh-CN" w:bidi="ar-SA"/>
        </w:rPr>
      </w:pPr>
      <w:r>
        <w:rPr>
          <w:rFonts w:eastAsia="Times New Roman" w:cs="Times New Roman"/>
          <w:color w:val="000000"/>
          <w:kern w:val="0"/>
          <w:sz w:val="22"/>
          <w:szCs w:val="22"/>
          <w:shd w:fill="auto" w:val="clear"/>
          <w:lang w:val="ru-RU" w:eastAsia="zh-CN" w:bidi="ar-SA"/>
        </w:rPr>
        <w:t>3.1. Исполнитель вправе:</w:t>
      </w:r>
    </w:p>
    <w:p>
      <w:pPr>
        <w:pStyle w:val="Title"/>
        <w:ind w:firstLine="709" w:right="44"/>
        <w:jc w:val="both"/>
        <w:rPr>
          <w:rFonts w:ascii="Times New Roman" w:hAnsi="Times New Roman" w:eastAsia="Times New Roman" w:cs="Times New Roman"/>
          <w:b w:val="false"/>
          <w:bCs w:val="false"/>
          <w:color w:val="auto"/>
          <w:kern w:val="0"/>
          <w:sz w:val="22"/>
          <w:szCs w:val="22"/>
          <w:highlight w:val="none"/>
          <w:shd w:fill="auto" w:val="clear"/>
          <w:lang w:val="ru-RU" w:eastAsia="zh-CN" w:bidi="ar-SA"/>
        </w:rPr>
      </w:pPr>
      <w:r>
        <w:rPr>
          <w:rFonts w:eastAsia="Times New Roman" w:cs="Times New Roman"/>
          <w:b w:val="false"/>
          <w:bCs w:val="false"/>
          <w:color w:val="000000"/>
          <w:kern w:val="0"/>
          <w:sz w:val="22"/>
          <w:szCs w:val="22"/>
          <w:shd w:fill="auto" w:val="clear"/>
          <w:lang w:val="ru-RU" w:eastAsia="zh-CN" w:bidi="ar-SA"/>
        </w:rPr>
        <w:t>3.1.1. Требовать своевременного подписания Заказчиком акта оказанных услуг и полной оплаты за оказанные услуги в соответствии с условиями настоящего контракта.</w:t>
      </w:r>
    </w:p>
    <w:p>
      <w:pPr>
        <w:pStyle w:val="Title"/>
        <w:ind w:firstLine="709" w:right="44"/>
        <w:jc w:val="both"/>
        <w:rPr>
          <w:rFonts w:ascii="Times New Roman" w:hAnsi="Times New Roman" w:eastAsia="Times New Roman" w:cs="Times New Roman"/>
          <w:b w:val="false"/>
          <w:bCs w:val="false"/>
          <w:color w:val="auto"/>
          <w:kern w:val="0"/>
          <w:sz w:val="22"/>
          <w:szCs w:val="22"/>
          <w:highlight w:val="none"/>
          <w:shd w:fill="auto" w:val="clear"/>
          <w:lang w:val="ru-RU" w:eastAsia="zh-CN" w:bidi="ar-SA"/>
        </w:rPr>
      </w:pPr>
      <w:r>
        <w:rPr>
          <w:rFonts w:eastAsia="Times New Roman" w:cs="Times New Roman"/>
          <w:b w:val="false"/>
          <w:bCs w:val="false"/>
          <w:color w:val="000000"/>
          <w:kern w:val="0"/>
          <w:sz w:val="22"/>
          <w:szCs w:val="22"/>
          <w:shd w:fill="auto" w:val="clear"/>
          <w:lang w:val="ru-RU" w:eastAsia="zh-CN" w:bidi="ar-SA"/>
        </w:rPr>
        <w:t>3.1.2. Проводить сверку произведённых по договору расчётов и объёма оказанных услуг.</w:t>
      </w:r>
    </w:p>
    <w:p>
      <w:pPr>
        <w:pStyle w:val="Normal"/>
        <w:shd w:val="clear" w:color="auto" w:fill="FFFFFF"/>
        <w:tabs>
          <w:tab w:val="clear" w:pos="936"/>
          <w:tab w:val="left" w:pos="1330" w:leader="none"/>
        </w:tabs>
        <w:ind w:firstLine="709"/>
        <w:jc w:val="both"/>
        <w:rPr>
          <w:highlight w:val="none"/>
          <w:shd w:fill="auto" w:val="clear"/>
        </w:rPr>
      </w:pPr>
      <w:r>
        <w:rPr>
          <w:rFonts w:eastAsia="Times New Roman" w:cs="Times New Roman"/>
          <w:color w:val="000000"/>
          <w:kern w:val="0"/>
          <w:sz w:val="22"/>
          <w:szCs w:val="22"/>
          <w:shd w:fill="auto" w:val="clear"/>
          <w:lang w:val="ru-RU" w:eastAsia="zh-CN" w:bidi="ar-SA"/>
        </w:rPr>
        <w:t>3.1.3. Прекратить реагирование на поступающие сигналы «тревога» на охраняемый объект в интервал времени, не предусмотренный Перечнем, в случае отказа Заказчика оплачивать сверхдоговорное время охраны.</w:t>
      </w:r>
    </w:p>
    <w:p>
      <w:pPr>
        <w:pStyle w:val="31"/>
        <w:tabs>
          <w:tab w:val="clear" w:pos="936"/>
          <w:tab w:val="left" w:pos="851" w:leader="none"/>
        </w:tabs>
        <w:spacing w:before="0" w:after="0"/>
        <w:ind w:firstLine="709" w:left="0"/>
        <w:jc w:val="both"/>
        <w:rPr>
          <w:rFonts w:ascii="Times New Roman" w:hAnsi="Times New Roman" w:eastAsia="Times New Roman" w:cs="Times New Roman"/>
          <w:color w:val="auto"/>
          <w:kern w:val="0"/>
          <w:sz w:val="22"/>
          <w:szCs w:val="22"/>
          <w:highlight w:val="none"/>
          <w:shd w:fill="auto" w:val="clear"/>
          <w:lang w:val="ru-RU" w:eastAsia="zh-CN" w:bidi="ar-SA"/>
        </w:rPr>
      </w:pPr>
      <w:r>
        <w:rPr>
          <w:rFonts w:eastAsia="Times New Roman" w:cs="Times New Roman"/>
          <w:color w:val="000000"/>
          <w:kern w:val="0"/>
          <w:sz w:val="22"/>
          <w:szCs w:val="22"/>
          <w:shd w:fill="auto" w:val="clear"/>
          <w:lang w:val="ru-RU" w:eastAsia="zh-CN" w:bidi="ar-SA"/>
        </w:rPr>
        <w:t>3.2.  «Исполнитель» обязан:</w:t>
      </w:r>
    </w:p>
    <w:p>
      <w:pPr>
        <w:pStyle w:val="31"/>
        <w:tabs>
          <w:tab w:val="clear" w:pos="936"/>
          <w:tab w:val="left" w:pos="851" w:leader="none"/>
        </w:tabs>
        <w:spacing w:before="0" w:after="0"/>
        <w:ind w:firstLine="709" w:left="0"/>
        <w:jc w:val="both"/>
        <w:rPr>
          <w:highlight w:val="none"/>
          <w:shd w:fill="auto" w:val="clear"/>
        </w:rPr>
      </w:pPr>
      <w:r>
        <w:rPr>
          <w:sz w:val="22"/>
          <w:szCs w:val="22"/>
          <w:shd w:fill="auto" w:val="clear"/>
        </w:rPr>
        <w:t xml:space="preserve">3.2.1. Организовать мониторинг состояния ТСО, установленных на объектах «Заказчика», переданных под </w:t>
      </w:r>
      <w:r>
        <w:rPr>
          <w:strike w:val="false"/>
          <w:dstrike w:val="false"/>
          <w:sz w:val="22"/>
          <w:szCs w:val="22"/>
          <w:shd w:fill="auto" w:val="clear"/>
        </w:rPr>
        <w:t xml:space="preserve"> охрану </w:t>
      </w:r>
      <w:r>
        <w:rPr>
          <w:sz w:val="22"/>
          <w:szCs w:val="22"/>
          <w:shd w:fill="auto" w:val="clear"/>
        </w:rPr>
        <w:t>в установленном порядке, в целях скорейшего выявления попыток проникновения посторонних лиц на объект, пресечения преступлений и иных правонарушений.</w:t>
      </w:r>
    </w:p>
    <w:p>
      <w:pPr>
        <w:pStyle w:val="31"/>
        <w:tabs>
          <w:tab w:val="clear" w:pos="936"/>
          <w:tab w:val="left" w:pos="851" w:leader="none"/>
        </w:tabs>
        <w:spacing w:before="0" w:after="0"/>
        <w:ind w:firstLine="709" w:left="0"/>
        <w:jc w:val="both"/>
        <w:rPr/>
      </w:pPr>
      <w:r>
        <w:rPr>
          <w:sz w:val="22"/>
          <w:szCs w:val="22"/>
          <w:shd w:fill="auto" w:val="clear"/>
        </w:rPr>
        <w:t xml:space="preserve">3.2.2. При поступлении сигнала «тревога» на ПЦН осуществить выезд наряда вневедомственной охраны на объект, вызвать </w:t>
      </w:r>
      <w:r>
        <w:rPr>
          <w:strike w:val="false"/>
          <w:dstrike w:val="false"/>
          <w:sz w:val="22"/>
          <w:szCs w:val="22"/>
          <w:shd w:fill="auto" w:val="clear"/>
        </w:rPr>
        <w:t xml:space="preserve">ответственное лицо </w:t>
      </w:r>
      <w:r>
        <w:rPr>
          <w:sz w:val="22"/>
          <w:szCs w:val="22"/>
          <w:shd w:fill="auto" w:val="clear"/>
        </w:rPr>
        <w:t xml:space="preserve">«Заказчика» для установления причин срабатывания сигнализации и пересдачи объекта под </w:t>
      </w:r>
      <w:r>
        <w:rPr>
          <w:strike w:val="false"/>
          <w:dstrike w:val="false"/>
          <w:sz w:val="22"/>
          <w:szCs w:val="22"/>
          <w:shd w:fill="auto" w:val="clear"/>
        </w:rPr>
        <w:t xml:space="preserve"> охрану.</w:t>
      </w:r>
      <w:r>
        <w:rPr>
          <w:sz w:val="22"/>
          <w:szCs w:val="22"/>
          <w:shd w:fill="auto" w:val="clear"/>
        </w:rPr>
        <w:t xml:space="preserve"> Наряд вневедомственной охраны прибывает на объект в возможно короткий срок, с учетом места нахождения объекта, дорожных и метеорологических условий, состояния подъездных пут</w:t>
      </w:r>
      <w:r>
        <w:rPr>
          <w:sz w:val="22"/>
          <w:szCs w:val="22"/>
        </w:rPr>
        <w:t>ей к объекту, оптимально выбранного маршрута движения, с соблюдением Правил дорожного движения.</w:t>
      </w:r>
    </w:p>
    <w:p>
      <w:pPr>
        <w:pStyle w:val="31"/>
        <w:tabs>
          <w:tab w:val="clear" w:pos="936"/>
          <w:tab w:val="left" w:pos="851" w:leader="none"/>
        </w:tabs>
        <w:spacing w:before="0" w:after="0"/>
        <w:ind w:firstLine="709" w:left="0"/>
        <w:jc w:val="both"/>
        <w:rPr/>
      </w:pPr>
      <w:r>
        <w:rPr>
          <w:sz w:val="22"/>
          <w:szCs w:val="22"/>
        </w:rPr>
        <w:t>3.2.3. По прибытии на объект в соответствии с нормативными правовыми актами Российской Федерации предпринимает необходимые меры по выяснению причин срабатывания сигнализации, пресечению совершаемых преступлений и иных правонарушений и задержанию виновных лиц.</w:t>
      </w:r>
    </w:p>
    <w:p>
      <w:pPr>
        <w:pStyle w:val="31"/>
        <w:tabs>
          <w:tab w:val="clear" w:pos="936"/>
          <w:tab w:val="left" w:pos="851" w:leader="none"/>
        </w:tabs>
        <w:spacing w:before="0" w:after="0"/>
        <w:ind w:firstLine="709" w:left="0"/>
        <w:jc w:val="both"/>
        <w:rPr/>
      </w:pPr>
      <w:r>
        <w:rPr>
          <w:sz w:val="22"/>
          <w:szCs w:val="22"/>
        </w:rPr>
        <w:t xml:space="preserve">3.2.4. При наличии признаков нарушения целостности объекта сообщить об этом в дежурную часть территориального органа внутренних дел и «Заказчику», либо его уполномоченному представителю. До их прибытия «Исполнитель» обеспечивает неприкосновенность места происшествия. По прибытии «Исполнитель» и «Заказчик» составляют акт о факте нарушения целостности объекта. </w:t>
      </w:r>
    </w:p>
    <w:p>
      <w:pPr>
        <w:pStyle w:val="31"/>
        <w:spacing w:before="0" w:after="0"/>
        <w:ind w:firstLine="709" w:left="0"/>
        <w:jc w:val="both"/>
        <w:rPr/>
      </w:pPr>
      <w:r>
        <w:rPr>
          <w:sz w:val="22"/>
          <w:szCs w:val="22"/>
        </w:rPr>
        <w:t>3.2.5. Консультировать «Заказчика» по вопросам, возникающим в ходе исполнения  настоящего договора.</w:t>
      </w:r>
    </w:p>
    <w:p>
      <w:pPr>
        <w:pStyle w:val="31"/>
        <w:spacing w:before="0" w:after="0"/>
        <w:ind w:firstLine="709" w:left="0"/>
        <w:jc w:val="both"/>
        <w:rPr/>
      </w:pPr>
      <w:r>
        <w:rPr>
          <w:sz w:val="22"/>
          <w:szCs w:val="22"/>
        </w:rPr>
        <w:t xml:space="preserve">3.2.6. При наличии заявления «Заказчика» о причиненном в результате проникновения на объект </w:t>
      </w:r>
      <w:r>
        <w:rPr>
          <w:color w:val="000000"/>
          <w:sz w:val="22"/>
          <w:szCs w:val="22"/>
        </w:rPr>
        <w:t>в период наблюдения</w:t>
      </w:r>
      <w:r>
        <w:rPr>
          <w:sz w:val="22"/>
          <w:szCs w:val="22"/>
        </w:rPr>
        <w:t xml:space="preserve"> ущербе участвовать в проведении ревизии (инвентаризации) имущества с целью определения размера причиненного ущерба. Если до прибытия представителей «Исполнителя» «Заказчик» приступил к снятию остатков товарно-материальных ценностей, допустил на объект третьих лиц либо иным образом нарушил неприкосновенность оставшихся товарно-материальных ценностей, «Исполнитель» вправе отказаться от дальнейшего участия в проведении ревизии (инвентаризации) и возмещения ущерба.</w:t>
      </w:r>
    </w:p>
    <w:p>
      <w:pPr>
        <w:pStyle w:val="31"/>
        <w:tabs>
          <w:tab w:val="clear" w:pos="936"/>
          <w:tab w:val="left" w:pos="851" w:leader="none"/>
        </w:tabs>
        <w:spacing w:before="0" w:after="0"/>
        <w:ind w:firstLine="709" w:left="0" w:right="-1"/>
        <w:jc w:val="both"/>
        <w:rPr/>
      </w:pPr>
      <w:r>
        <w:rPr>
          <w:sz w:val="22"/>
          <w:szCs w:val="22"/>
        </w:rPr>
        <w:t>3.2.7. Совместно с «Заказчиком» или его уполномоченным представителем производить вскрытие объекта для внутреннего осмотра помещений с целью выяснения причин срабатывания сигнализации.</w:t>
      </w:r>
    </w:p>
    <w:p>
      <w:pPr>
        <w:pStyle w:val="31"/>
        <w:spacing w:before="0" w:after="0"/>
        <w:ind w:firstLine="709" w:left="0" w:right="-1"/>
        <w:jc w:val="both"/>
        <w:rPr/>
      </w:pPr>
      <w:r>
        <w:rPr>
          <w:sz w:val="22"/>
          <w:szCs w:val="22"/>
        </w:rPr>
        <w:t xml:space="preserve">В случае если ни по одному из указанных «Заказчиком» телефонов «Исполнитель» не застает лиц, уполномоченных участвовать в осмотре объекта и установлении причин срабатывания сигнализации, либо уполномоченное лицо «Заказчика» не прибывает на объект для его осмотра в течение 1 (одного) часа с момента уведомления, наряд вневедомственной охраны покидает объект, с которого поступил сигнал «тревога», «Исполнитель» считается выполнившим свои обязанности по настоящему договору. </w:t>
      </w:r>
    </w:p>
    <w:p>
      <w:pPr>
        <w:pStyle w:val="31"/>
        <w:spacing w:before="0" w:after="0"/>
        <w:ind w:firstLine="709" w:left="0" w:right="-1"/>
        <w:jc w:val="both"/>
        <w:rPr/>
      </w:pPr>
      <w:r>
        <w:rPr>
          <w:sz w:val="22"/>
          <w:szCs w:val="22"/>
        </w:rPr>
        <w:t xml:space="preserve">В случае служебной необходимости при прохождении сигнала «тревога» с другого объекта или иных случаях, когда нахождение группы задержания «Исполнителя» на объекте и отсутствие последней на маршруте патрулирования влечет за собой возможность общественно-опасных последствий, «Исполнитель» вправе покинуть объект до истечения 1 (одного) часа. В таком случае объект берется под охрану посредством автопатруля до истечения вышеуказанного времени.   </w:t>
      </w:r>
    </w:p>
    <w:p>
      <w:pPr>
        <w:pStyle w:val="31"/>
        <w:spacing w:before="0" w:after="0"/>
        <w:ind w:firstLine="709" w:left="0"/>
        <w:jc w:val="both"/>
        <w:rPr/>
      </w:pPr>
      <w:r>
        <w:rPr>
          <w:sz w:val="22"/>
          <w:szCs w:val="22"/>
        </w:rPr>
        <w:t>3.2.8 В случае если по причинам, не зависящим от «Исполнителя», пересдача объекта под наблюдение по прибытии уполномоченного лица «Заказчика» невозможна (например, при отключении электроэнергии или перебоях электроснабжения на объекте, неисправности  телефонной линии, канала «</w:t>
      </w:r>
      <w:r>
        <w:rPr>
          <w:color w:val="000000"/>
          <w:sz w:val="22"/>
          <w:szCs w:val="22"/>
        </w:rPr>
        <w:t>Ethernet»,</w:t>
      </w:r>
      <w:r>
        <w:rPr>
          <w:sz w:val="22"/>
          <w:szCs w:val="22"/>
        </w:rPr>
        <w:t xml:space="preserve"> GSM, изменении параметров телефонной линии связи, используемой в качестве канала передачи сообщений о состоянии ТСО, не позволяющих осуществлять централизованное наблюдение за состоянием ТСО, неисправности каналообразующего оборудования поставщика услуг связи, неисправности установленного на «Объекте</w:t>
      </w:r>
      <w:r>
        <w:rPr>
          <w:rFonts w:eastAsia="Times New Roman" w:cs="Times New Roman"/>
          <w:color w:val="auto"/>
          <w:kern w:val="0"/>
          <w:sz w:val="22"/>
          <w:szCs w:val="22"/>
          <w:lang w:val="ru-RU" w:eastAsia="zh-CN" w:bidi="ar-SA"/>
        </w:rPr>
        <w:t>» радиопередающего устройства, пожаре, нарушении или разрушении элементов конструкции «Объекта», отсутствие у данного лица ключей от «Объекта», наличие отрицательного баланса на лицевом счете оператора, оказывающего  «Ethernet», GSM и т.п.), объект считается снятым с наблюдения охраны.</w:t>
      </w:r>
    </w:p>
    <w:p>
      <w:pPr>
        <w:pStyle w:val="31"/>
        <w:tabs>
          <w:tab w:val="clear" w:pos="936"/>
          <w:tab w:val="left" w:pos="851" w:leader="none"/>
        </w:tabs>
        <w:spacing w:before="0" w:after="0"/>
        <w:ind w:firstLine="709" w:left="0"/>
        <w:jc w:val="center"/>
        <w:rPr>
          <w:b/>
          <w:sz w:val="22"/>
          <w:szCs w:val="22"/>
        </w:rPr>
      </w:pPr>
      <w:r>
        <w:rPr>
          <w:b/>
          <w:sz w:val="22"/>
          <w:szCs w:val="22"/>
        </w:rPr>
      </w:r>
    </w:p>
    <w:p>
      <w:pPr>
        <w:pStyle w:val="31"/>
        <w:tabs>
          <w:tab w:val="clear" w:pos="936"/>
          <w:tab w:val="left" w:pos="851" w:leader="none"/>
        </w:tabs>
        <w:spacing w:before="0" w:after="0"/>
        <w:ind w:firstLine="709" w:left="0"/>
        <w:jc w:val="center"/>
        <w:rPr/>
      </w:pPr>
      <w:r>
        <w:rPr>
          <w:b/>
          <w:sz w:val="22"/>
          <w:szCs w:val="22"/>
        </w:rPr>
        <w:t>4. ПРАВА  И ОБЯЗАННОСТИ «ЗАКАЗЧИКА»</w:t>
      </w:r>
    </w:p>
    <w:p>
      <w:pPr>
        <w:pStyle w:val="31"/>
        <w:tabs>
          <w:tab w:val="clear" w:pos="936"/>
          <w:tab w:val="left" w:pos="851" w:leader="none"/>
        </w:tabs>
        <w:spacing w:before="0" w:after="0"/>
        <w:ind w:firstLine="709" w:left="0"/>
        <w:jc w:val="center"/>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r>
    </w:p>
    <w:p>
      <w:pPr>
        <w:pStyle w:val="21"/>
        <w:spacing w:lineRule="auto" w:line="240" w:before="0" w:after="0"/>
        <w:ind w:firstLine="709" w:left="0"/>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4.1. «Заказчик» вправе:</w:t>
      </w:r>
    </w:p>
    <w:p>
      <w:pPr>
        <w:pStyle w:val="Normal"/>
        <w:tabs>
          <w:tab w:val="clear" w:pos="936"/>
          <w:tab w:val="left" w:pos="720" w:leader="none"/>
        </w:tabs>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ab/>
        <w:t>4.1.1. Требовать от «Исполнителя» надлежащего исполнения обязательств по договору.</w:t>
      </w:r>
    </w:p>
    <w:p>
      <w:pPr>
        <w:pStyle w:val="ConsPlusNormal"/>
        <w:widowControl/>
        <w:ind w:firstLine="709" w:left="0" w:right="0"/>
        <w:jc w:val="both"/>
        <w:rPr>
          <w:rFonts w:ascii="Times New Roman" w:hAnsi="Times New Roman" w:eastAsia="Times New Roman" w:cs="Times New Roman"/>
          <w:color w:val="auto"/>
          <w:kern w:val="0"/>
          <w:sz w:val="22"/>
          <w:szCs w:val="22"/>
          <w:lang w:val="ru-RU" w:eastAsia="zh-CN" w:bidi="ar-SA"/>
        </w:rPr>
      </w:pPr>
      <w:r>
        <w:rPr>
          <w:rFonts w:eastAsia="Times New Roman" w:cs="Times New Roman" w:ascii="Times New Roman" w:hAnsi="Times New Roman"/>
          <w:color w:val="auto"/>
          <w:kern w:val="0"/>
          <w:sz w:val="22"/>
          <w:szCs w:val="22"/>
          <w:lang w:val="ru-RU" w:eastAsia="zh-CN" w:bidi="ar-SA"/>
        </w:rPr>
        <w:t>4.1.2. Требовать от «Исполнителя» предоставления надлежащим образом оформленной отчетной документации, подтверждающей исполнение обязательств.</w:t>
      </w:r>
    </w:p>
    <w:p>
      <w:pPr>
        <w:pStyle w:val="21"/>
        <w:spacing w:lineRule="auto" w:line="240" w:before="0" w:after="0"/>
        <w:ind w:firstLine="709" w:left="0"/>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4.1.3. Осуществлять иные действия, предусмотренные настоящим договором и действующим законодательством Российской Федерации.</w:t>
      </w:r>
    </w:p>
    <w:p>
      <w:pPr>
        <w:pStyle w:val="21"/>
        <w:spacing w:lineRule="auto" w:line="240" w:before="0" w:after="0"/>
        <w:ind w:firstLine="709" w:left="0"/>
        <w:jc w:val="both"/>
        <w:rPr/>
      </w:pPr>
      <w:r>
        <w:rPr>
          <w:sz w:val="22"/>
          <w:szCs w:val="22"/>
        </w:rPr>
        <w:t>4.2. «Заказчик» обязан:</w:t>
      </w:r>
    </w:p>
    <w:p>
      <w:pPr>
        <w:pStyle w:val="21"/>
        <w:spacing w:lineRule="auto" w:line="240" w:before="0" w:after="0"/>
        <w:ind w:firstLine="709" w:left="0"/>
        <w:jc w:val="both"/>
        <w:rPr/>
      </w:pPr>
      <w:r>
        <w:rPr>
          <w:sz w:val="22"/>
          <w:szCs w:val="22"/>
        </w:rPr>
        <w:t>4.2.1. Привести техническое состояние объектов (помещений), указанных в Перечне услуг, в соответствие с действующими в системе Росгвардии требованиями, рекомендациями, а также в соответствие с требованиями, установленными действующими нормативными актами для данного вида объекта; принять меры к устранению выявленных недостатков по технической укрепленности и оснащенности объекта ТСО, отраженных в акте обследования объекта, в течение 1 месяца со дня составления акта, если иное не предусмотрено актом обследования; выполнять письменные указания «Исполнителя», касающиеся осуществления капитального ремонта ТСО, совершенствования организации централизованного наблюдения за объектами; осуществлять мероприятия по пожарной профилактике и обеспечивать пожарную безопасность на этих объектах.</w:t>
      </w:r>
    </w:p>
    <w:p>
      <w:pPr>
        <w:pStyle w:val="31"/>
        <w:tabs>
          <w:tab w:val="clear" w:pos="936"/>
          <w:tab w:val="left" w:pos="851" w:leader="none"/>
        </w:tabs>
        <w:spacing w:before="0" w:after="0"/>
        <w:ind w:firstLine="709" w:left="0"/>
        <w:jc w:val="both"/>
        <w:rPr/>
      </w:pPr>
      <w:r>
        <w:rPr>
          <w:sz w:val="22"/>
          <w:szCs w:val="22"/>
        </w:rPr>
        <w:t>4.2.2. Не допускать к ТСО неуполномоченных лиц; не разглашать посторонним лицам систему технической оснащенности объекта, коды для постановки/снятия объекта под наблюдение; не передавать посторонним лицам электронные ключи. Обеспечивать возможность доступа работников «Исполнителя» к ТСО (во всех помещениях).</w:t>
      </w:r>
    </w:p>
    <w:p>
      <w:pPr>
        <w:pStyle w:val="31"/>
        <w:tabs>
          <w:tab w:val="clear" w:pos="936"/>
          <w:tab w:val="left" w:pos="851" w:leader="none"/>
        </w:tabs>
        <w:spacing w:before="0" w:after="0"/>
        <w:ind w:firstLine="709" w:left="0"/>
        <w:jc w:val="both"/>
        <w:rPr/>
      </w:pPr>
      <w:r>
        <w:rPr>
          <w:sz w:val="22"/>
          <w:szCs w:val="22"/>
        </w:rPr>
        <w:t>4.2.3. Перед постановкой объекта на охрану:</w:t>
      </w:r>
    </w:p>
    <w:p>
      <w:pPr>
        <w:pStyle w:val="31"/>
        <w:tabs>
          <w:tab w:val="clear" w:pos="936"/>
          <w:tab w:val="left" w:pos="851" w:leader="none"/>
          <w:tab w:val="left" w:pos="1636" w:leader="none"/>
        </w:tabs>
        <w:spacing w:before="0" w:after="0"/>
        <w:ind w:firstLine="709" w:left="0"/>
        <w:jc w:val="both"/>
        <w:rPr/>
      </w:pPr>
      <w:r>
        <w:rPr>
          <w:sz w:val="22"/>
          <w:szCs w:val="22"/>
        </w:rPr>
        <w:t>закрывать окна, форточки, люки, вентиляционные люки, двери на запорные устройства (замки);</w:t>
      </w:r>
    </w:p>
    <w:p>
      <w:pPr>
        <w:pStyle w:val="31"/>
        <w:tabs>
          <w:tab w:val="clear" w:pos="936"/>
          <w:tab w:val="left" w:pos="851" w:leader="none"/>
          <w:tab w:val="left" w:pos="1636" w:leader="none"/>
        </w:tabs>
        <w:spacing w:before="0" w:after="0"/>
        <w:ind w:firstLine="709" w:left="0"/>
        <w:jc w:val="both"/>
        <w:rPr/>
      </w:pPr>
      <w:r>
        <w:rPr>
          <w:sz w:val="22"/>
          <w:szCs w:val="22"/>
        </w:rPr>
        <w:t>запирать снаружи на навесные замки, помимо внутренних запоров, и пломбировать (опечатывать)  двери запасных выходов.</w:t>
      </w:r>
    </w:p>
    <w:p>
      <w:pPr>
        <w:pStyle w:val="31"/>
        <w:tabs>
          <w:tab w:val="clear" w:pos="936"/>
          <w:tab w:val="left" w:pos="851" w:leader="none"/>
        </w:tabs>
        <w:spacing w:before="0" w:after="0"/>
        <w:ind w:firstLine="709" w:left="0"/>
        <w:jc w:val="both"/>
        <w:rPr/>
      </w:pPr>
      <w:r>
        <w:rPr>
          <w:sz w:val="22"/>
          <w:szCs w:val="22"/>
        </w:rPr>
        <w:t xml:space="preserve">4.2.4. Убедиться, что </w:t>
      </w:r>
      <w:r>
        <w:rPr>
          <w:color w:val="000000"/>
          <w:sz w:val="22"/>
          <w:szCs w:val="22"/>
        </w:rPr>
        <w:t>вблизи с извещателями объемного обнаружения не установлены предметы, которые могут перекрывать их зоны действия.</w:t>
      </w:r>
    </w:p>
    <w:p>
      <w:pPr>
        <w:pStyle w:val="31"/>
        <w:tabs>
          <w:tab w:val="clear" w:pos="936"/>
          <w:tab w:val="left" w:pos="851" w:leader="none"/>
        </w:tabs>
        <w:spacing w:before="0" w:after="0"/>
        <w:ind w:firstLine="709" w:left="0"/>
        <w:jc w:val="both"/>
        <w:rPr/>
      </w:pPr>
      <w:r>
        <w:rPr>
          <w:sz w:val="22"/>
          <w:szCs w:val="22"/>
        </w:rPr>
        <w:t>4.2.5.</w:t>
      </w:r>
      <w:r>
        <w:rPr>
          <w:rFonts w:eastAsia="Times New Roman" w:cs="Times New Roman"/>
          <w:color w:val="000000"/>
          <w:kern w:val="0"/>
          <w:sz w:val="22"/>
          <w:szCs w:val="22"/>
          <w:shd w:fill="auto" w:val="clear"/>
          <w:lang w:val="ru-RU" w:eastAsia="zh-CN" w:bidi="ar-SA"/>
        </w:rPr>
        <w:t xml:space="preserve"> Сдавать объект под охрану и снимать его в определенное Сторонами время, указанное в Перечне. П</w:t>
      </w:r>
      <w:r>
        <w:rPr>
          <w:rFonts w:eastAsia="Times New Roman" w:cs="Times New Roman"/>
          <w:color w:val="auto"/>
          <w:kern w:val="0"/>
          <w:sz w:val="22"/>
          <w:szCs w:val="22"/>
          <w:lang w:val="ru-RU" w:eastAsia="zh-CN" w:bidi="ar-SA"/>
        </w:rPr>
        <w:t>ри сдаче объектов (помещений) под централизованное наблюдение проверять, чтобы в них не оставались посторонние лица, работники «Заказчика» и животные, а также включенные электроприборы, другие и</w:t>
      </w:r>
      <w:r>
        <w:rPr>
          <w:sz w:val="22"/>
          <w:szCs w:val="22"/>
        </w:rPr>
        <w:t>сточники огня; удостовериться, что объект принят под централизованное наблюдение на ПЦН.</w:t>
      </w:r>
    </w:p>
    <w:p>
      <w:pPr>
        <w:pStyle w:val="31"/>
        <w:tabs>
          <w:tab w:val="clear" w:pos="936"/>
          <w:tab w:val="left" w:pos="851" w:leader="none"/>
        </w:tabs>
        <w:spacing w:before="0" w:after="0"/>
        <w:ind w:firstLine="709" w:left="0"/>
        <w:jc w:val="both"/>
        <w:rPr/>
      </w:pPr>
      <w:r>
        <w:rPr>
          <w:sz w:val="22"/>
          <w:szCs w:val="22"/>
        </w:rPr>
        <w:t>4.2.6. Обеспечить соблюдение следующих требований к хранению товарно-материальных ценностей:</w:t>
      </w:r>
    </w:p>
    <w:p>
      <w:pPr>
        <w:pStyle w:val="31"/>
        <w:tabs>
          <w:tab w:val="clear" w:pos="936"/>
          <w:tab w:val="left" w:pos="851" w:leader="none"/>
        </w:tabs>
        <w:spacing w:before="0" w:after="0"/>
        <w:ind w:firstLine="709" w:left="0"/>
        <w:jc w:val="both"/>
        <w:rPr/>
      </w:pPr>
      <w:r>
        <w:rPr>
          <w:sz w:val="22"/>
          <w:szCs w:val="22"/>
        </w:rPr>
        <w:t xml:space="preserve">размещение каких-либо товарно-материальных ценностей внутри объекта может производиться не ближе 1,5 метров от ограждения (в том числе окна, витрины); </w:t>
      </w:r>
    </w:p>
    <w:p>
      <w:pPr>
        <w:pStyle w:val="31"/>
        <w:tabs>
          <w:tab w:val="clear" w:pos="936"/>
          <w:tab w:val="left" w:pos="851" w:leader="none"/>
        </w:tabs>
        <w:spacing w:before="0" w:after="0"/>
        <w:ind w:firstLine="709" w:left="0"/>
        <w:jc w:val="both"/>
        <w:rPr/>
      </w:pPr>
      <w:r>
        <w:rPr>
          <w:sz w:val="22"/>
          <w:szCs w:val="22"/>
        </w:rPr>
        <w:t>денежные средства убирать в сейфы или в металлические шкафы, прикрепленные к полу (или стене);</w:t>
      </w:r>
    </w:p>
    <w:p>
      <w:pPr>
        <w:pStyle w:val="31"/>
        <w:tabs>
          <w:tab w:val="clear" w:pos="936"/>
          <w:tab w:val="left" w:pos="851" w:leader="none"/>
        </w:tabs>
        <w:spacing w:before="0" w:after="0"/>
        <w:ind w:firstLine="709" w:left="0"/>
        <w:jc w:val="both"/>
        <w:rPr/>
      </w:pPr>
      <w:r>
        <w:rPr>
          <w:sz w:val="22"/>
          <w:szCs w:val="22"/>
        </w:rPr>
        <w:t xml:space="preserve">дорогостоящие изделия (в том числе из драгоценных металлов или с драгоценными камнями) по окончании рабочего времени хранить в специальных обособленных помещениях, оборудованных ТСО, выведенными на ПЦН. </w:t>
      </w:r>
    </w:p>
    <w:p>
      <w:pPr>
        <w:pStyle w:val="31"/>
        <w:tabs>
          <w:tab w:val="clear" w:pos="936"/>
          <w:tab w:val="left" w:pos="851" w:leader="none"/>
        </w:tabs>
        <w:spacing w:before="0" w:after="0"/>
        <w:ind w:firstLine="709" w:left="0"/>
        <w:jc w:val="both"/>
        <w:rPr/>
      </w:pPr>
      <w:r>
        <w:rPr>
          <w:sz w:val="22"/>
          <w:szCs w:val="22"/>
        </w:rPr>
        <w:t>4.2.7. Соблюдать требования по хранению товарно-материальных ценностей, установленные нормативными правовыми актами.</w:t>
      </w:r>
    </w:p>
    <w:p>
      <w:pPr>
        <w:pStyle w:val="31"/>
        <w:tabs>
          <w:tab w:val="clear" w:pos="936"/>
          <w:tab w:val="left" w:pos="851" w:leader="none"/>
        </w:tabs>
        <w:spacing w:before="0" w:after="0"/>
        <w:ind w:firstLine="709" w:left="0"/>
        <w:jc w:val="both"/>
        <w:rPr/>
      </w:pPr>
      <w:r>
        <w:rPr>
          <w:sz w:val="22"/>
          <w:szCs w:val="22"/>
        </w:rPr>
        <w:t>4.2.8. Не допускать хранение на объекте денежных средств сверх сумм, которые «Заказчик» вправе оставлять на объекте (лимит кассы).</w:t>
      </w:r>
    </w:p>
    <w:p>
      <w:pPr>
        <w:pStyle w:val="31"/>
        <w:tabs>
          <w:tab w:val="clear" w:pos="936"/>
          <w:tab w:val="left" w:pos="851" w:leader="none"/>
        </w:tabs>
        <w:spacing w:before="0" w:after="0"/>
        <w:ind w:firstLine="709" w:left="0"/>
        <w:jc w:val="both"/>
        <w:rPr/>
      </w:pPr>
      <w:r>
        <w:rPr>
          <w:sz w:val="22"/>
          <w:szCs w:val="22"/>
        </w:rPr>
        <w:t>4.2.9. Принимать меры к своевременному ремонту телефонных линий связи, восстановлению каналов «</w:t>
      </w:r>
      <w:r>
        <w:rPr>
          <w:color w:val="000000"/>
          <w:sz w:val="22"/>
          <w:szCs w:val="22"/>
        </w:rPr>
        <w:t>Ethernet», GSM</w:t>
      </w:r>
      <w:r>
        <w:rPr>
          <w:sz w:val="22"/>
          <w:szCs w:val="22"/>
        </w:rPr>
        <w:t xml:space="preserve"> и сетей электропитания. </w:t>
      </w:r>
    </w:p>
    <w:p>
      <w:pPr>
        <w:pStyle w:val="31"/>
        <w:tabs>
          <w:tab w:val="clear" w:pos="936"/>
          <w:tab w:val="left" w:pos="851" w:leader="none"/>
          <w:tab w:val="left" w:pos="4395" w:leader="none"/>
        </w:tabs>
        <w:spacing w:before="0" w:after="0"/>
        <w:ind w:firstLine="709" w:left="0"/>
        <w:jc w:val="both"/>
        <w:rPr/>
      </w:pPr>
      <w:r>
        <w:rPr>
          <w:sz w:val="22"/>
          <w:szCs w:val="22"/>
        </w:rPr>
        <w:t>4.2.10. В случае не подключения объектов (помещений) на пульт централизованной охраны (ПЦН) по причине неисправности телефонной линии связи, канала «</w:t>
      </w:r>
      <w:r>
        <w:rPr>
          <w:color w:val="000000"/>
          <w:sz w:val="22"/>
          <w:szCs w:val="22"/>
          <w:lang w:val="en-US"/>
        </w:rPr>
        <w:t>Ethernet</w:t>
      </w:r>
      <w:r>
        <w:rPr>
          <w:color w:val="000000"/>
          <w:sz w:val="22"/>
          <w:szCs w:val="22"/>
        </w:rPr>
        <w:t>»,</w:t>
      </w:r>
      <w:r>
        <w:rPr>
          <w:sz w:val="22"/>
          <w:szCs w:val="22"/>
        </w:rPr>
        <w:t xml:space="preserve"> </w:t>
      </w:r>
      <w:r>
        <w:rPr>
          <w:sz w:val="22"/>
          <w:szCs w:val="22"/>
          <w:lang w:val="en-US"/>
        </w:rPr>
        <w:t>GSM</w:t>
      </w:r>
      <w:r>
        <w:rPr>
          <w:sz w:val="22"/>
          <w:szCs w:val="22"/>
        </w:rPr>
        <w:t>, отсутствия электропитания, выхода из строя сигнализации по вине «Заказчика» или третьих лиц, а также при возникновении иных обстоятельств, не зависящих от «Исполнителя» и  препятствующих выполнению обязанностей по договору, организовать охрану объекта собственными силами до устранения неисправностей.</w:t>
      </w:r>
    </w:p>
    <w:p>
      <w:pPr>
        <w:pStyle w:val="31"/>
        <w:spacing w:before="0" w:after="0"/>
        <w:ind w:firstLine="709" w:left="0"/>
        <w:jc w:val="both"/>
        <w:rPr/>
      </w:pPr>
      <w:r>
        <w:rPr>
          <w:sz w:val="22"/>
          <w:szCs w:val="22"/>
        </w:rPr>
        <w:t>4.2.11. В случае обнаружения повреждения ТСО, неисправности при включении сигнализации, немедленно уведомить об этом «Исполнителя», обслуживающую организацию и не покидать объект до устранения неисправности и передачи объекта под наблюдение в соответствии с условиями настоящего договора.</w:t>
      </w:r>
    </w:p>
    <w:p>
      <w:pPr>
        <w:pStyle w:val="31"/>
        <w:spacing w:before="0" w:after="0"/>
        <w:ind w:firstLine="709" w:left="0"/>
        <w:jc w:val="both"/>
        <w:rPr/>
      </w:pPr>
      <w:r>
        <w:rPr>
          <w:sz w:val="22"/>
          <w:szCs w:val="22"/>
        </w:rPr>
        <w:t>4.2.12. За 5 рабочих дней сообщать «Исполнителю» о проведении на объектах (помещениях), включенных в Перечень услуг, ремонтных работ, перепланировки, переоборудования помещений, изменении режима работы, появлении новых или изменении мест хранения товарно-материальных ценностей, а также о проведении иных мероприятий, вследствие которых может потребоваться изменение системы или режима наблюдения, дополнительная оснащенность объекта (помещения) ТСО, а также которые могут повлиять на работу ТСО.</w:t>
      </w:r>
    </w:p>
    <w:p>
      <w:pPr>
        <w:pStyle w:val="31"/>
        <w:spacing w:before="0" w:after="0"/>
        <w:ind w:firstLine="709" w:left="0"/>
        <w:jc w:val="both"/>
        <w:rPr/>
      </w:pPr>
      <w:r>
        <w:rPr>
          <w:sz w:val="22"/>
          <w:szCs w:val="22"/>
        </w:rPr>
        <w:t>4.2.13. Обеспечить выезд на объект (не позднее одного часа с момента уведомления) представителя «Заказчика», уполномоченного участвовать в передаче объектов под наблюдение на ПЦН в случаях срабатывания ТСО в период наблюдения, при не подключении объектов (помещений) на ПЦН, а также при нарушении их целостности. Обеспечить доступ во все помещения объектов для их осмотра.</w:t>
      </w:r>
    </w:p>
    <w:p>
      <w:pPr>
        <w:pStyle w:val="31"/>
        <w:spacing w:before="0" w:after="0"/>
        <w:ind w:firstLine="709" w:left="0"/>
        <w:jc w:val="both"/>
        <w:rPr/>
      </w:pPr>
      <w:r>
        <w:rPr>
          <w:sz w:val="22"/>
          <w:szCs w:val="22"/>
        </w:rPr>
        <w:t>4.2.14. Заблаговременно информировать «Исполнителя» о возникновении необходимости снять объект с централизованного наблюдения во внеурочное время (когда на объекте в соответствии с Перечнем услуг должен осуществляться мониторинг за состоянием ТСО) (пункт централизованной охраны (центр оперативного управления): телефон ____________, факс ___________, адрес _______________).</w:t>
      </w:r>
    </w:p>
    <w:p>
      <w:pPr>
        <w:pStyle w:val="31"/>
        <w:spacing w:before="0" w:after="0"/>
        <w:ind w:firstLine="709" w:left="0"/>
        <w:jc w:val="both"/>
        <w:rPr/>
      </w:pPr>
      <w:r>
        <w:rPr>
          <w:sz w:val="22"/>
          <w:szCs w:val="22"/>
        </w:rPr>
        <w:t xml:space="preserve">4.2.15. В случае если каждому пользователю ТСО на объекте присваивается индивидуальный код, сообщать «Исполнителю» о приеме на работу и увольнении сотрудников (с целью добавления в базу индивидуальных кодов и их удаления). </w:t>
      </w:r>
    </w:p>
    <w:p>
      <w:pPr>
        <w:pStyle w:val="31"/>
        <w:spacing w:before="0" w:after="0"/>
        <w:ind w:firstLine="709" w:left="0"/>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4.2.16. Обеспечить доступ на объект представителям «Исполнителя» для проведения  периодического осмотра (обследования) ТСО объекта, участвовать в проведении обследований.</w:t>
      </w:r>
    </w:p>
    <w:p>
      <w:pPr>
        <w:pStyle w:val="31"/>
        <w:spacing w:before="0" w:after="0"/>
        <w:ind w:firstLine="709" w:left="0"/>
        <w:jc w:val="both"/>
        <w:rPr/>
      </w:pPr>
      <w:r>
        <w:rPr>
          <w:rFonts w:eastAsia="Times New Roman" w:cs="Times New Roman"/>
          <w:color w:val="auto"/>
          <w:kern w:val="0"/>
          <w:sz w:val="22"/>
          <w:szCs w:val="22"/>
          <w:lang w:val="ru-RU" w:eastAsia="zh-CN" w:bidi="ar-SA"/>
        </w:rPr>
        <w:t>4.2.17. При выводе ТСО с использованием каналов «Ethernet» и GSM обеспечивать работоспособность каналов «Ethernet» и GSM, приборов, необходимых для выхода в сеть</w:t>
      </w:r>
      <w:r>
        <w:rPr>
          <w:sz w:val="22"/>
          <w:szCs w:val="22"/>
        </w:rPr>
        <w:t xml:space="preserve"> «</w:t>
      </w:r>
      <w:r>
        <w:rPr>
          <w:color w:val="000000"/>
          <w:sz w:val="22"/>
          <w:szCs w:val="22"/>
        </w:rPr>
        <w:t xml:space="preserve">Ethernet» </w:t>
      </w:r>
      <w:r>
        <w:rPr>
          <w:sz w:val="22"/>
          <w:szCs w:val="22"/>
        </w:rPr>
        <w:t xml:space="preserve">(роутер, маршрутизатор и т.д.), а также сети электропитания, к которым подключены ТСО. Отслеживать и поддерживать положительный баланс на SIM-карте, установленной в приемно-контрольном приборе, и положительный баланс на лицевом счете оператора, предоставляющего </w:t>
      </w:r>
      <w:r>
        <w:rPr>
          <w:color w:val="000000"/>
          <w:sz w:val="22"/>
          <w:szCs w:val="22"/>
        </w:rPr>
        <w:t>услуги «Ethernet».</w:t>
      </w:r>
    </w:p>
    <w:p>
      <w:pPr>
        <w:pStyle w:val="31"/>
        <w:spacing w:before="0" w:after="0"/>
        <w:ind w:firstLine="709" w:left="0"/>
        <w:jc w:val="both"/>
        <w:rPr/>
      </w:pPr>
      <w:r>
        <w:rPr>
          <w:sz w:val="22"/>
          <w:szCs w:val="22"/>
        </w:rPr>
        <w:t xml:space="preserve">4.2.18. Обеспечивать техническое обслуживание ТСО. Техническое обслуживание должно включать в себя контроль технического состояния ТСО и определение пригодности к дальнейшей эксплуатации, выявление и устранение неисправностей; выявление и устранение причин ложных срабатываний, уменьшение их количества; ликвидацию или недопущение последствий воздействия неблагоприятных климатических, производственных и других дестабилизирующих факторов; проверку работоспособности комплекса ТСО совместно с системой передачи извещений. </w:t>
      </w:r>
    </w:p>
    <w:p>
      <w:pPr>
        <w:pStyle w:val="31"/>
        <w:spacing w:before="0" w:after="0"/>
        <w:ind w:firstLine="709" w:left="0"/>
        <w:jc w:val="both"/>
        <w:rPr/>
      </w:pPr>
      <w:r>
        <w:rPr>
          <w:sz w:val="22"/>
          <w:szCs w:val="22"/>
        </w:rPr>
        <w:t xml:space="preserve">4.2.19. В целях обеспечения надежной охраны имущества и оперативного взаимодействия с организацией, обслуживающей ТСО, сообщать «Исполнителю» ее название, адрес места нахождения и контактный телефон. </w:t>
      </w:r>
    </w:p>
    <w:p>
      <w:pPr>
        <w:pStyle w:val="31"/>
        <w:spacing w:before="0" w:after="0"/>
        <w:ind w:firstLine="709" w:left="0"/>
        <w:jc w:val="both"/>
        <w:rPr/>
      </w:pPr>
      <w:r>
        <w:rPr>
          <w:sz w:val="22"/>
          <w:szCs w:val="22"/>
        </w:rPr>
        <w:t>4.2.20. Принимать меры к выявлению и устранению причин ложных срабатываний и иных сбоев в работе ТСО.</w:t>
      </w:r>
    </w:p>
    <w:p>
      <w:pPr>
        <w:pStyle w:val="31"/>
        <w:spacing w:before="0" w:after="0"/>
        <w:ind w:firstLine="709" w:left="0"/>
        <w:jc w:val="both"/>
        <w:rPr/>
      </w:pPr>
      <w:r>
        <w:rPr>
          <w:sz w:val="22"/>
          <w:szCs w:val="22"/>
        </w:rPr>
        <w:t>4.2.21. За счет собственных средств осуществить ремонт или замену ТСО:</w:t>
      </w:r>
    </w:p>
    <w:p>
      <w:pPr>
        <w:pStyle w:val="31"/>
        <w:spacing w:before="0" w:after="0"/>
        <w:ind w:firstLine="709" w:left="0"/>
        <w:jc w:val="both"/>
        <w:rPr/>
      </w:pPr>
      <w:r>
        <w:rPr>
          <w:sz w:val="22"/>
          <w:szCs w:val="22"/>
        </w:rPr>
        <w:t>при невозможности их дальнейшей эксплуатации из-за физического износа или необратимого изменения технических параметров, исключающих надежную защиту объекта;</w:t>
      </w:r>
    </w:p>
    <w:p>
      <w:pPr>
        <w:pStyle w:val="31"/>
        <w:spacing w:before="0" w:after="0"/>
        <w:ind w:firstLine="709" w:left="0"/>
        <w:jc w:val="both"/>
        <w:rPr/>
      </w:pPr>
      <w:r>
        <w:rPr>
          <w:sz w:val="22"/>
          <w:szCs w:val="22"/>
        </w:rPr>
        <w:t>при истечении срока эксплуатации ТСО, установленного предприятием-изготовителем;</w:t>
      </w:r>
    </w:p>
    <w:p>
      <w:pPr>
        <w:pStyle w:val="31"/>
        <w:spacing w:before="0" w:after="0"/>
        <w:ind w:firstLine="709" w:left="0"/>
        <w:jc w:val="both"/>
        <w:rPr/>
      </w:pPr>
      <w:r>
        <w:rPr>
          <w:sz w:val="22"/>
          <w:szCs w:val="22"/>
        </w:rPr>
        <w:t xml:space="preserve">в случае замены  оборудования на ПЦН. </w:t>
      </w:r>
    </w:p>
    <w:p>
      <w:pPr>
        <w:pStyle w:val="31"/>
        <w:spacing w:before="0" w:after="0"/>
        <w:ind w:firstLine="709" w:left="0"/>
        <w:jc w:val="both"/>
        <w:rPr/>
      </w:pPr>
      <w:r>
        <w:rPr>
          <w:sz w:val="22"/>
          <w:szCs w:val="22"/>
        </w:rPr>
        <w:t>Срок ремонта (замены) ТСО - в течение 1 месяца со дня установления такой необходимости.</w:t>
      </w:r>
    </w:p>
    <w:p>
      <w:pPr>
        <w:pStyle w:val="31"/>
        <w:spacing w:before="0" w:after="0"/>
        <w:ind w:firstLine="709" w:left="0"/>
        <w:jc w:val="both"/>
        <w:rPr/>
      </w:pPr>
      <w:r>
        <w:rPr>
          <w:sz w:val="22"/>
          <w:szCs w:val="22"/>
        </w:rPr>
        <w:t>4.2.22. В случае причинения материального ущерба «Заказчику» вследствие хищения имущества посторонними лицами, проникшими на объекты, «Заказчик» обязан:</w:t>
      </w:r>
    </w:p>
    <w:p>
      <w:pPr>
        <w:pStyle w:val="31"/>
        <w:spacing w:before="0" w:after="0"/>
        <w:ind w:firstLine="709" w:left="0"/>
        <w:jc w:val="both"/>
        <w:rPr/>
      </w:pPr>
      <w:r>
        <w:rPr>
          <w:sz w:val="22"/>
          <w:szCs w:val="22"/>
        </w:rPr>
        <w:t xml:space="preserve">4.2.23. В течение 6 часов с момента обнаружения проникновения на объект (помещения) письменно уведомить «Исполнителя» о проникновении и начале проведения ревизии (инвентаризации). При этом до начала проведения ревизии (инвентаризации), снятия остатков товарно-материальных ценностей «Заказчик» обеспечивает их неприкосновенность, не допускает на объект третьих лиц. </w:t>
      </w:r>
    </w:p>
    <w:p>
      <w:pPr>
        <w:pStyle w:val="31"/>
        <w:spacing w:before="0" w:after="0"/>
        <w:ind w:firstLine="709" w:left="0"/>
        <w:jc w:val="both"/>
        <w:rPr/>
      </w:pPr>
      <w:r>
        <w:rPr>
          <w:sz w:val="22"/>
          <w:szCs w:val="22"/>
        </w:rPr>
        <w:t>4.2.24. Не приступать к проведению инвентаризации (ревизии) без уполномоченного представителя «Исполнителя».</w:t>
      </w:r>
    </w:p>
    <w:p>
      <w:pPr>
        <w:pStyle w:val="31"/>
        <w:spacing w:before="0" w:after="0"/>
        <w:ind w:firstLine="709" w:left="0"/>
        <w:jc w:val="both"/>
        <w:rPr/>
      </w:pPr>
      <w:r>
        <w:rPr>
          <w:sz w:val="22"/>
          <w:szCs w:val="22"/>
        </w:rPr>
        <w:t>4.2.25. Создать условия для комиссионного определения размера ущерба, в том числе до начала совместной ревизии (инвентаризации):</w:t>
      </w:r>
    </w:p>
    <w:p>
      <w:pPr>
        <w:pStyle w:val="31"/>
        <w:spacing w:before="0" w:after="0"/>
        <w:ind w:firstLine="709" w:left="0"/>
        <w:jc w:val="both"/>
        <w:rPr/>
      </w:pPr>
      <w:r>
        <w:rPr>
          <w:sz w:val="22"/>
          <w:szCs w:val="22"/>
        </w:rPr>
        <w:t>утвердить список лиц, которые будут участвовать в проведении инвентаризации со стороны «Заказчика»;</w:t>
      </w:r>
    </w:p>
    <w:p>
      <w:pPr>
        <w:pStyle w:val="31"/>
        <w:spacing w:before="0" w:after="0"/>
        <w:ind w:firstLine="709" w:left="0"/>
        <w:jc w:val="both"/>
        <w:rPr/>
      </w:pPr>
      <w:r>
        <w:rPr>
          <w:sz w:val="22"/>
          <w:szCs w:val="22"/>
        </w:rPr>
        <w:t>приостановить все операции по реализации товарно-материальных ценностей до момента окончания совместной ревизии;</w:t>
      </w:r>
    </w:p>
    <w:p>
      <w:pPr>
        <w:pStyle w:val="31"/>
        <w:spacing w:before="0" w:after="0"/>
        <w:ind w:firstLine="709" w:left="0"/>
        <w:jc w:val="both"/>
        <w:rPr/>
      </w:pPr>
      <w:r>
        <w:rPr>
          <w:sz w:val="22"/>
          <w:szCs w:val="22"/>
        </w:rPr>
        <w:t>закончить обработку всех бухгалтерских документов по приходу, расходу и иным операциям с товарно-материальными ценностями, произвести в учетных документах запись о том, что в них все товарно-материальные ценности учтены,  представить «Исполнителю» справку об остатках товарно-материальных ценностей по данным бухгалтерского учета на момент совершения кражи, а также снять фискальные отчеты с имеющихся кассовых аппаратов на дату кражи;</w:t>
      </w:r>
    </w:p>
    <w:p>
      <w:pPr>
        <w:pStyle w:val="31"/>
        <w:spacing w:before="0" w:after="0"/>
        <w:ind w:firstLine="709" w:left="0"/>
        <w:jc w:val="both"/>
        <w:rPr/>
      </w:pPr>
      <w:r>
        <w:rPr>
          <w:sz w:val="22"/>
          <w:szCs w:val="22"/>
        </w:rPr>
        <w:t>у всех материально ответственных лиц за сохранность вверенных им товарно-материальных ценностей, взять подписку о том, что все документы, относящиеся к приходу или расходу товарно-материальных ценностей, сданы в бухгалтерию, и что никаких неучтенных товарно-материальных ценностей у них не имеется;</w:t>
      </w:r>
    </w:p>
    <w:p>
      <w:pPr>
        <w:pStyle w:val="31"/>
        <w:spacing w:before="0" w:after="0"/>
        <w:ind w:firstLine="709" w:left="0"/>
        <w:jc w:val="both"/>
        <w:rPr/>
      </w:pPr>
      <w:r>
        <w:rPr>
          <w:sz w:val="22"/>
          <w:szCs w:val="22"/>
        </w:rPr>
        <w:t>представить «Исполнителю» в прошнурованном и пронумерованном виде первичные бухгалтерские документы и документы аналитического и синтетического бухгалтерского учета (накладные, платежные документы, товарные отчеты, отчеты кассиров-операционистов, фискальные кассовые отчеты, кассовые книги, журналы складского (сортового) учета и т.д.), договоры поставки и иные договоры на приобретение и реализацию товарно-материальных ценностей, акты инвентаризаций, инвентаризационные описи товарно-материальных ценностей, приказы руководителя о создании инвентаризационных комиссий, список всех материально ответственных лиц, а также заключенные с ними трудовые договоры и договоры о полной материальной ответственности, книгу выдачи доверенностей и сами доверенности на получение товарно-материальных ценностей, выданные материально ответственным лицам, за период не менее 3-х лет;</w:t>
      </w:r>
    </w:p>
    <w:p>
      <w:pPr>
        <w:pStyle w:val="31"/>
        <w:spacing w:before="0" w:after="0"/>
        <w:ind w:firstLine="709" w:left="0"/>
        <w:jc w:val="both"/>
        <w:rPr/>
      </w:pPr>
      <w:r>
        <w:rPr>
          <w:sz w:val="22"/>
          <w:szCs w:val="22"/>
        </w:rPr>
        <w:t>представить «Исполнителю» иную необходимую для проведения ревизии информацию и документы.</w:t>
      </w:r>
    </w:p>
    <w:p>
      <w:pPr>
        <w:pStyle w:val="31"/>
        <w:spacing w:before="0" w:after="0"/>
        <w:ind w:firstLine="709" w:left="0" w:right="-1"/>
        <w:jc w:val="both"/>
        <w:rPr/>
      </w:pPr>
      <w:r>
        <w:rPr>
          <w:sz w:val="22"/>
          <w:szCs w:val="22"/>
        </w:rPr>
        <w:t>Совместная ревизия (инвентаризация) производится в рабочие дни во время, согласованное сторонами.</w:t>
      </w:r>
    </w:p>
    <w:p>
      <w:pPr>
        <w:pStyle w:val="31"/>
        <w:spacing w:before="0" w:after="0"/>
        <w:ind w:firstLine="709" w:left="0"/>
        <w:jc w:val="both"/>
        <w:rPr/>
      </w:pPr>
      <w:r>
        <w:rPr>
          <w:sz w:val="22"/>
          <w:szCs w:val="22"/>
        </w:rPr>
        <w:t xml:space="preserve">4.2.26. Участвовать в проведении ревизии (инвентаризации), снятии остатков товарно-материальных ценностей   </w:t>
      </w:r>
    </w:p>
    <w:p>
      <w:pPr>
        <w:pStyle w:val="31"/>
        <w:spacing w:before="0" w:after="0"/>
        <w:ind w:firstLine="709" w:left="0"/>
        <w:jc w:val="both"/>
        <w:rPr/>
      </w:pPr>
      <w:r>
        <w:rPr>
          <w:sz w:val="22"/>
          <w:szCs w:val="22"/>
        </w:rPr>
        <w:t>4.2.27. Незамедлительно при получении соответствующей информации или возникновении соответствующих обстоятельств сообщать «Исполнителю»:</w:t>
      </w:r>
    </w:p>
    <w:p>
      <w:pPr>
        <w:pStyle w:val="31"/>
        <w:tabs>
          <w:tab w:val="clear" w:pos="936"/>
          <w:tab w:val="left" w:pos="567" w:leader="none"/>
        </w:tabs>
        <w:spacing w:before="0" w:after="0"/>
        <w:ind w:firstLine="709" w:left="0"/>
        <w:jc w:val="both"/>
        <w:rPr/>
      </w:pPr>
      <w:r>
        <w:rPr>
          <w:sz w:val="22"/>
          <w:szCs w:val="22"/>
        </w:rPr>
        <w:t>о своей реорганизации или ликвидации;</w:t>
      </w:r>
    </w:p>
    <w:p>
      <w:pPr>
        <w:pStyle w:val="31"/>
        <w:tabs>
          <w:tab w:val="clear" w:pos="936"/>
          <w:tab w:val="left" w:pos="567" w:leader="none"/>
        </w:tabs>
        <w:spacing w:before="0" w:after="0"/>
        <w:ind w:firstLine="709" w:left="0"/>
        <w:jc w:val="both"/>
        <w:rPr/>
      </w:pPr>
      <w:r>
        <w:rPr>
          <w:sz w:val="22"/>
          <w:szCs w:val="22"/>
        </w:rPr>
        <w:t>о передаче объектов (помещений), включенных в Перечень услуг, в собственность (пользование, владение) другим юридическим или физическим лицам;</w:t>
      </w:r>
    </w:p>
    <w:p>
      <w:pPr>
        <w:pStyle w:val="31"/>
        <w:tabs>
          <w:tab w:val="clear" w:pos="936"/>
          <w:tab w:val="left" w:pos="567" w:leader="none"/>
        </w:tabs>
        <w:spacing w:before="0" w:after="0"/>
        <w:ind w:firstLine="709" w:left="0"/>
        <w:jc w:val="both"/>
        <w:rPr/>
      </w:pPr>
      <w:r>
        <w:rPr>
          <w:sz w:val="22"/>
          <w:szCs w:val="22"/>
        </w:rPr>
        <w:t>о возникновении спора о праве собственности или порядка управления в отношении объектов (помещений);</w:t>
      </w:r>
    </w:p>
    <w:p>
      <w:pPr>
        <w:pStyle w:val="31"/>
        <w:tabs>
          <w:tab w:val="clear" w:pos="936"/>
          <w:tab w:val="left" w:pos="567" w:leader="none"/>
        </w:tabs>
        <w:spacing w:before="0" w:after="0"/>
        <w:ind w:firstLine="709" w:left="0"/>
        <w:jc w:val="both"/>
        <w:rPr/>
      </w:pPr>
      <w:r>
        <w:rPr>
          <w:sz w:val="22"/>
          <w:szCs w:val="22"/>
        </w:rPr>
        <w:t>об изменении наименования,  юридического адреса и  реквизитов;</w:t>
      </w:r>
    </w:p>
    <w:p>
      <w:pPr>
        <w:pStyle w:val="31"/>
        <w:tabs>
          <w:tab w:val="clear" w:pos="936"/>
          <w:tab w:val="left" w:pos="567" w:leader="none"/>
        </w:tabs>
        <w:spacing w:before="0" w:after="0"/>
        <w:ind w:firstLine="709" w:left="0"/>
        <w:jc w:val="both"/>
        <w:rPr/>
      </w:pPr>
      <w:r>
        <w:rPr>
          <w:sz w:val="22"/>
          <w:szCs w:val="22"/>
        </w:rPr>
        <w:t>об изменении уполномоченных представителей или их адресов, контактных телефонов.</w:t>
      </w:r>
    </w:p>
    <w:p>
      <w:pPr>
        <w:pStyle w:val="31"/>
        <w:tabs>
          <w:tab w:val="clear" w:pos="936"/>
          <w:tab w:val="left" w:pos="567" w:leader="none"/>
        </w:tabs>
        <w:spacing w:before="0" w:after="0"/>
        <w:ind w:firstLine="709" w:left="0"/>
        <w:jc w:val="both"/>
        <w:rPr/>
      </w:pPr>
      <w:r>
        <w:rPr>
          <w:sz w:val="22"/>
          <w:szCs w:val="22"/>
        </w:rPr>
        <w:t>4.2.28. При проведении на объекте ремонта, перепланировки, переоборудования помещений, в случаях появления новых и изменения старых мест хранения ценностей, изменен</w:t>
      </w:r>
      <w:r>
        <w:rPr>
          <w:rFonts w:eastAsia="Times New Roman" w:cs="Times New Roman"/>
          <w:color w:val="auto"/>
          <w:kern w:val="0"/>
          <w:sz w:val="22"/>
          <w:szCs w:val="22"/>
          <w:lang w:val="ru-RU" w:eastAsia="zh-CN" w:bidi="ar-SA"/>
        </w:rPr>
        <w:t>ия режима или профиля работ, сдачи помещения (площадей) в аренду (субаренду) или передачи помещений другим лицам, а также при проведении иных мероприятий, которые могут повлиять на техническое состояние технических средств охраны, уведомить об этом «Исполнителя» не позднее, чем за 5 (пять) рабочих дней до наступления таких изменений.</w:t>
      </w:r>
    </w:p>
    <w:p>
      <w:pPr>
        <w:pStyle w:val="31"/>
        <w:spacing w:before="0" w:after="0"/>
        <w:ind w:firstLine="709" w:left="0"/>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4.2.29. Оплачивать оказываемые по настоящему договору услуги в порядке и сроки, установленные разделом 5 настоящего договора.</w:t>
      </w:r>
    </w:p>
    <w:p>
      <w:pPr>
        <w:pStyle w:val="31"/>
        <w:tabs>
          <w:tab w:val="clear" w:pos="936"/>
          <w:tab w:val="left" w:pos="426" w:leader="none"/>
        </w:tabs>
        <w:spacing w:before="0" w:after="0"/>
        <w:ind w:firstLine="709" w:left="0" w:right="-1"/>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 xml:space="preserve">4.2.30. В случае ложного выезда  наряда вневедомственной охраны в соответствии с пунктом 5.6. договора подписать акт (уведомление) о выезде. </w:t>
      </w:r>
    </w:p>
    <w:p>
      <w:pPr>
        <w:pStyle w:val="NoSpacing"/>
        <w:ind w:firstLine="709" w:right="-1"/>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 xml:space="preserve">4.2.31. При расторжении или приостановлении действия договора погасить имеющуюся задолженность за предоставленные услуги до момента подачи заявления о расторжении или приостановлении действия договора. </w:t>
      </w:r>
    </w:p>
    <w:p>
      <w:pPr>
        <w:pStyle w:val="NoSpacing"/>
        <w:ind w:firstLine="709" w:right="-1"/>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4.2.32. В течение 10 (десяти) дней с момента расторжения договора возвратить «Исполнителю» по акту приема-передачи переданные во временное пользование ТСО, либо произвести оплату их стоимости при их утрате или повреждении.</w:t>
      </w:r>
    </w:p>
    <w:p>
      <w:pPr>
        <w:pStyle w:val="31"/>
        <w:spacing w:before="0" w:after="0"/>
        <w:ind w:firstLine="709" w:left="0"/>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r>
    </w:p>
    <w:p>
      <w:pPr>
        <w:pStyle w:val="31"/>
        <w:spacing w:before="0" w:after="0"/>
        <w:ind w:firstLine="709" w:left="0"/>
        <w:jc w:val="center"/>
        <w:rPr/>
      </w:pPr>
      <w:r>
        <w:rPr>
          <w:b/>
          <w:sz w:val="22"/>
          <w:szCs w:val="22"/>
        </w:rPr>
        <w:t>5. ЦЕНА ДОГОВОРА  И  ПОРЯДОК  РАСЧЕТОВ</w:t>
      </w:r>
    </w:p>
    <w:p>
      <w:pPr>
        <w:pStyle w:val="31"/>
        <w:spacing w:before="0" w:after="0"/>
        <w:ind w:firstLine="709" w:left="0"/>
        <w:jc w:val="both"/>
        <w:rPr/>
      </w:pPr>
      <w:r>
        <w:rPr>
          <w:sz w:val="22"/>
          <w:szCs w:val="22"/>
        </w:rPr>
        <w:t xml:space="preserve">5.1. Стоимость услуг «Исполнителя» в месяц указывается в Перечне услуг (приложение № 1 к договору) и определяется тарифами, утвержденными приказом «Исполнителя». </w:t>
      </w:r>
    </w:p>
    <w:p>
      <w:pPr>
        <w:pStyle w:val="31"/>
        <w:spacing w:before="0" w:after="0"/>
        <w:ind w:firstLine="709" w:left="0"/>
        <w:jc w:val="both"/>
        <w:rPr/>
      </w:pPr>
      <w:r>
        <w:rPr>
          <w:sz w:val="22"/>
          <w:szCs w:val="22"/>
        </w:rPr>
        <w:t xml:space="preserve">5.2. Расчетным периодом по договору является календарный месяц. Оплата услуг производится «Заказчиком» ежемесячно путем перечисления денежных средств на расчетный счет «Исполнителя» до 15 числа текущего месяца. </w:t>
      </w:r>
    </w:p>
    <w:p>
      <w:pPr>
        <w:pStyle w:val="31"/>
        <w:spacing w:before="0" w:after="0"/>
        <w:ind w:firstLine="709" w:left="0"/>
        <w:jc w:val="both"/>
        <w:rPr/>
      </w:pPr>
      <w:r>
        <w:rPr>
          <w:sz w:val="22"/>
          <w:szCs w:val="22"/>
        </w:rPr>
        <w:t>5.3. Если от «Заказчика» в течение 10 дней с момента окончания расчетного периода не поступили возражения относительно оказанных в расчетном периоде услуг, то такие услуги считаются оказанными и принятыми «Заказчиком» в полном объеме.</w:t>
      </w:r>
    </w:p>
    <w:p>
      <w:pPr>
        <w:pStyle w:val="31"/>
        <w:spacing w:before="0" w:after="0"/>
        <w:ind w:firstLine="709" w:left="0"/>
        <w:jc w:val="both"/>
        <w:rPr/>
      </w:pPr>
      <w:r>
        <w:rPr>
          <w:sz w:val="22"/>
          <w:szCs w:val="22"/>
        </w:rPr>
        <w:t>5.4. В случае изменения тарифов на услуги «Исполнителя» стоимость оказываемых по договору услуг изменяется «Исполнителем» в одностороннем порядке на основании приказа «Исполнителя». Об изменении тарифов «Исполнитель» в обязательном порядке уведомляет «Заказчика» путем направления Перечня услуг в новой редакции. Если «Заказчик» не согласен с изменением  тарифов, то он вправе в одностороннем порядке в течение 5 рабочих дней с момента получения уведомления отказаться от исполнения настоящего договора при условии оплаты фактически понесенных «Исполнителем» расходов (по тарифам, утвержденным в установленном порядке, со дня введения новых тарифов по день получения «Исполнителем» письменного уведомления о расторжении договора). Если в указанный срок от «Заказчика» в адрес «Исполнителя» не поступает уведомление о расторжении договора, то считается, что «Заказчик» согласился на изменение стоимости услуг.</w:t>
      </w:r>
    </w:p>
    <w:p>
      <w:pPr>
        <w:pStyle w:val="Normal"/>
        <w:ind w:firstLine="709" w:right="44"/>
        <w:jc w:val="both"/>
        <w:rPr>
          <w:highlight w:val="none"/>
          <w:shd w:fill="FFFF00" w:val="clear"/>
        </w:rPr>
      </w:pPr>
      <w:r>
        <w:rPr>
          <w:rFonts w:eastAsia="Times New Roman" w:cs="Times New Roman"/>
          <w:color w:val="000000"/>
          <w:kern w:val="0"/>
          <w:sz w:val="22"/>
          <w:szCs w:val="22"/>
          <w:shd w:fill="FFFF00" w:val="clear"/>
          <w:lang w:val="ru-RU" w:eastAsia="zh-CN" w:bidi="ar-SA"/>
        </w:rPr>
        <w:t>5.5. В случае постановки Заказчиком объекта под охрану раньше времени, указанного в Перечне, или снятия Заказчиком объекта с охраны позднее времени, указанного в Перечне, Заказчик по требованию Исполнителя оплачивает каждый полный час охраны, не включенный в количество часов, отраженных в Перечне, согласно Тарифу. В данном случае производится общий учет времени нахождения объекта под охраной за период 1 финансовый год.  Факт оказания Исполнителем услуг в объеме, превышающем количество часов охраны, указанное в Перечне, подтверждается внутренними документами Исполнителя (протокол событий автоматизированного рабочего места, выписка из контрольных листов, отчет по событиям на объекте и т. п.), предоставляемыми Заказчику  Исполнителем  по  его  требованию. Указанные платежи производятся Заказчиком в течение 5-ти банковских дней с момента получения счетов от Исполнителя в размере, согласно действующим Тарифам.</w:t>
      </w:r>
    </w:p>
    <w:p>
      <w:pPr>
        <w:pStyle w:val="31"/>
        <w:tabs>
          <w:tab w:val="clear" w:pos="936"/>
          <w:tab w:val="left" w:pos="1701" w:leader="none"/>
        </w:tabs>
        <w:spacing w:before="0" w:after="0"/>
        <w:ind w:firstLine="709" w:left="0"/>
        <w:jc w:val="both"/>
        <w:rPr/>
      </w:pPr>
      <w:r>
        <w:rPr>
          <w:sz w:val="22"/>
          <w:szCs w:val="22"/>
        </w:rPr>
        <w:t>5.6.</w:t>
      </w:r>
      <w:r>
        <w:rPr>
          <w:i/>
          <w:sz w:val="22"/>
          <w:szCs w:val="22"/>
        </w:rPr>
        <w:t xml:space="preserve"> </w:t>
      </w:r>
      <w:r>
        <w:rPr>
          <w:sz w:val="22"/>
          <w:szCs w:val="22"/>
        </w:rPr>
        <w:t>За каждый ложный выезд по сигналу «тревога» по вине «Заказчика» последний уплачивает «Исполнителю» штраф в размере, утвержденном приказом «Исполнителя», на день его применения. О ложном выезде «Исполнителем» составляется акт выезда (уведомление), который</w:t>
      </w:r>
      <w:r>
        <w:rPr>
          <w:sz w:val="22"/>
          <w:szCs w:val="22"/>
          <w:shd w:fill="auto" w:val="clear"/>
        </w:rPr>
        <w:t xml:space="preserve"> </w:t>
      </w:r>
      <w:r>
        <w:rPr>
          <w:sz w:val="22"/>
          <w:szCs w:val="22"/>
        </w:rPr>
        <w:t>подписывается «Исполнителем» и вручается (направляется) «Заказчику» (ответственному лицу,  представителю). Выезд является ложным:</w:t>
      </w:r>
    </w:p>
    <w:p>
      <w:pPr>
        <w:pStyle w:val="31"/>
        <w:tabs>
          <w:tab w:val="clear" w:pos="936"/>
          <w:tab w:val="left" w:pos="1701" w:leader="none"/>
        </w:tabs>
        <w:spacing w:before="0" w:after="0"/>
        <w:ind w:firstLine="709" w:left="0"/>
        <w:jc w:val="both"/>
        <w:rPr>
          <w:highlight w:val="none"/>
          <w:shd w:fill="FFFF00" w:val="clear"/>
        </w:rPr>
      </w:pPr>
      <w:r>
        <w:rPr>
          <w:color w:val="000000"/>
          <w:sz w:val="22"/>
          <w:szCs w:val="22"/>
          <w:shd w:fill="FFFF00" w:val="clear"/>
        </w:rPr>
        <w:t>5.6.1. При ошибочных (недобросовестных) действиях «Заказчика» (ответственного лица) по управлению комплексом охранной сигнализации при постановке объекта на охрану и снятии с охраны, повлекших  ложное срабатывание  ТСО:</w:t>
      </w:r>
    </w:p>
    <w:p>
      <w:pPr>
        <w:pStyle w:val="31"/>
        <w:tabs>
          <w:tab w:val="clear" w:pos="936"/>
          <w:tab w:val="left" w:pos="1701" w:leader="none"/>
        </w:tabs>
        <w:spacing w:before="0" w:after="0"/>
        <w:ind w:firstLine="709" w:left="0"/>
        <w:jc w:val="both"/>
        <w:rPr>
          <w:highlight w:val="none"/>
          <w:shd w:fill="FFFF00" w:val="clear"/>
        </w:rPr>
      </w:pPr>
      <w:r>
        <w:rPr>
          <w:color w:val="000000"/>
          <w:sz w:val="22"/>
          <w:szCs w:val="22"/>
          <w:shd w:fill="FFFF00" w:val="clear"/>
        </w:rPr>
        <w:t xml:space="preserve">не запирание (неплотное закрытие) окон, форточек, дверей, люков, </w:t>
      </w:r>
    </w:p>
    <w:p>
      <w:pPr>
        <w:pStyle w:val="31"/>
        <w:tabs>
          <w:tab w:val="clear" w:pos="936"/>
          <w:tab w:val="left" w:pos="1701" w:leader="none"/>
        </w:tabs>
        <w:spacing w:before="0" w:after="0"/>
        <w:ind w:firstLine="709" w:left="0"/>
        <w:jc w:val="both"/>
        <w:rPr>
          <w:highlight w:val="none"/>
          <w:shd w:fill="FFFF00" w:val="clear"/>
        </w:rPr>
      </w:pPr>
      <w:r>
        <w:rPr>
          <w:color w:val="000000"/>
          <w:sz w:val="22"/>
          <w:szCs w:val="22"/>
          <w:shd w:fill="FFFF00" w:val="clear"/>
        </w:rPr>
        <w:t xml:space="preserve">не выключение электрических приборов, </w:t>
      </w:r>
    </w:p>
    <w:p>
      <w:pPr>
        <w:pStyle w:val="31"/>
        <w:tabs>
          <w:tab w:val="clear" w:pos="936"/>
          <w:tab w:val="left" w:pos="1701" w:leader="none"/>
        </w:tabs>
        <w:spacing w:before="0" w:after="0"/>
        <w:ind w:firstLine="709" w:left="0"/>
        <w:jc w:val="both"/>
        <w:rPr>
          <w:highlight w:val="none"/>
          <w:shd w:fill="FFFF00" w:val="clear"/>
        </w:rPr>
      </w:pPr>
      <w:r>
        <w:rPr>
          <w:color w:val="000000"/>
          <w:sz w:val="22"/>
          <w:szCs w:val="22"/>
          <w:shd w:fill="FFFF00" w:val="clear"/>
        </w:rPr>
        <w:t>оставление в охраняемом помещении людей, домашних животных, повлекшие за собой ложное  срабатывание ТСО.</w:t>
      </w:r>
    </w:p>
    <w:p>
      <w:pPr>
        <w:pStyle w:val="BodyText"/>
        <w:widowControl/>
        <w:suppressAutoHyphens w:val="true"/>
        <w:bidi w:val="0"/>
        <w:spacing w:before="0" w:after="0"/>
        <w:ind w:firstLine="737" w:left="0" w:right="0"/>
        <w:jc w:val="both"/>
        <w:rPr>
          <w:highlight w:val="none"/>
          <w:shd w:fill="FFFF00" w:val="clear"/>
        </w:rPr>
      </w:pPr>
      <w:r>
        <w:rPr>
          <w:b w:val="false"/>
          <w:color w:val="000000"/>
          <w:sz w:val="22"/>
          <w:szCs w:val="22"/>
          <w:shd w:fill="FFFF00" w:val="clear"/>
        </w:rPr>
        <w:t>5.6.2. По причине срабатывания ТСО  вследствие воздействия грызунов, насекомых на объекте.</w:t>
      </w:r>
    </w:p>
    <w:p>
      <w:pPr>
        <w:pStyle w:val="BodyText"/>
        <w:widowControl/>
        <w:suppressAutoHyphens w:val="true"/>
        <w:bidi w:val="0"/>
        <w:spacing w:before="0" w:after="0"/>
        <w:ind w:firstLine="737" w:left="0" w:right="0"/>
        <w:jc w:val="both"/>
        <w:rPr>
          <w:b w:val="false"/>
          <w:color w:val="000000"/>
          <w:sz w:val="24"/>
          <w:szCs w:val="24"/>
        </w:rPr>
      </w:pPr>
      <w:r>
        <w:rPr>
          <w:rFonts w:eastAsia="Times New Roman" w:cs="Times New Roman"/>
          <w:b w:val="false"/>
          <w:color w:val="000000"/>
          <w:kern w:val="0"/>
          <w:sz w:val="22"/>
          <w:szCs w:val="22"/>
          <w:shd w:fill="auto" w:val="clear"/>
          <w:lang w:val="ru-RU" w:eastAsia="zh-CN" w:bidi="ar-SA"/>
        </w:rPr>
        <w:t>5.7. В случае задолженности «Заказчика» перед «Исполнителем», в том числе при неуплате «Заказчиком» штрафов за ложные выезды нарядов вневедомственной охраны по сигналам «тревога», поступающие платежи в первую очередь направляются на погашение образовавшейся задолженности, и только после ее полного погашения на плановые платежи.</w:t>
      </w:r>
    </w:p>
    <w:p>
      <w:pPr>
        <w:pStyle w:val="31"/>
        <w:tabs>
          <w:tab w:val="clear" w:pos="936"/>
          <w:tab w:val="left" w:pos="2061" w:leader="none"/>
        </w:tabs>
        <w:spacing w:before="0" w:after="0"/>
        <w:ind w:firstLine="709" w:left="0"/>
        <w:jc w:val="both"/>
        <w:rPr/>
      </w:pPr>
      <w:r>
        <w:rPr>
          <w:sz w:val="22"/>
          <w:szCs w:val="22"/>
        </w:rPr>
        <w:t>5.8. В случае приостановления действия настоящего договора с сохранением кодового номера «Заказчик» компенсирует «Исполнителю» стоимость вторичного использования его телефонной абонентской линии согласно действующим тарифам оператора связи либо расходы на повторное подключение сигнализации к телефонной линии (если объект выведен на ПЦН с помощью телефонной линии).</w:t>
      </w:r>
    </w:p>
    <w:p>
      <w:pPr>
        <w:pStyle w:val="31"/>
        <w:tabs>
          <w:tab w:val="clear" w:pos="936"/>
          <w:tab w:val="left" w:pos="2061" w:leader="none"/>
        </w:tabs>
        <w:spacing w:before="0" w:after="0"/>
        <w:ind w:firstLine="709" w:left="0"/>
        <w:jc w:val="both"/>
        <w:rPr>
          <w:sz w:val="18"/>
          <w:szCs w:val="18"/>
        </w:rPr>
      </w:pPr>
      <w:r>
        <w:rPr>
          <w:sz w:val="18"/>
          <w:szCs w:val="18"/>
        </w:rPr>
      </w:r>
    </w:p>
    <w:p>
      <w:pPr>
        <w:pStyle w:val="31"/>
        <w:spacing w:before="0" w:after="0"/>
        <w:ind w:firstLine="709" w:left="0"/>
        <w:jc w:val="center"/>
        <w:rPr/>
      </w:pPr>
      <w:r>
        <w:rPr>
          <w:b/>
          <w:sz w:val="22"/>
          <w:szCs w:val="22"/>
        </w:rPr>
        <w:t>6. СРОК ДЕЙСТВИЯ ДОГОВОРА</w:t>
      </w:r>
    </w:p>
    <w:p>
      <w:pPr>
        <w:pStyle w:val="311"/>
        <w:widowControl/>
        <w:suppressAutoHyphens w:val="true"/>
        <w:bidi w:val="0"/>
        <w:spacing w:before="0" w:after="0"/>
        <w:ind w:firstLine="680" w:left="0" w:right="57"/>
        <w:jc w:val="both"/>
        <w:rPr/>
      </w:pPr>
      <w:r>
        <w:rPr>
          <w:sz w:val="22"/>
          <w:szCs w:val="22"/>
        </w:rPr>
        <w:t>6.1. Настоящий договор заключается сроком на один год и вступает в силу с момента его подписания сторонами. Если за 10 рабочих дней до истечения срока действия договора ни одна из сторон не потребует в письменной форме его прекращения или изменения, договор признаётся продлённым на прежних условиях на каждый последующий год.</w:t>
      </w:r>
    </w:p>
    <w:p>
      <w:pPr>
        <w:pStyle w:val="311"/>
        <w:widowControl/>
        <w:suppressAutoHyphens w:val="true"/>
        <w:bidi w:val="0"/>
        <w:spacing w:before="0" w:after="0"/>
        <w:ind w:firstLine="680" w:left="0" w:right="57"/>
        <w:jc w:val="both"/>
        <w:rPr/>
      </w:pPr>
      <w:r>
        <w:rPr>
          <w:sz w:val="22"/>
          <w:szCs w:val="22"/>
        </w:rPr>
        <w:t>6.2. Оказание услуг может быть приостановлено в одностороннем порядке «Исполнителем» (объекты снимаются с ПЦН до устранения причин, послуживших основанием для приостановления оказания услуг) в следующих случаях:</w:t>
      </w:r>
    </w:p>
    <w:p>
      <w:pPr>
        <w:pStyle w:val="311"/>
        <w:widowControl/>
        <w:suppressAutoHyphens w:val="true"/>
        <w:bidi w:val="0"/>
        <w:spacing w:before="0" w:after="0"/>
        <w:ind w:firstLine="680" w:left="0" w:right="57"/>
        <w:jc w:val="both"/>
        <w:rPr/>
      </w:pPr>
      <w:r>
        <w:rPr>
          <w:sz w:val="22"/>
          <w:szCs w:val="22"/>
        </w:rPr>
        <w:t>возникновение споров о праве собственности и управления имуществом в отношении объектов (помещений), на которых  установлены средства сигнализации.  Оказание услуг возобновляется после получения письменного уведомления от «Заказчика» о прекращении соответствующего спора с приложением копий подтверждающих документов (например, решение суда);</w:t>
      </w:r>
    </w:p>
    <w:p>
      <w:pPr>
        <w:pStyle w:val="311"/>
        <w:widowControl/>
        <w:suppressAutoHyphens w:val="true"/>
        <w:bidi w:val="0"/>
        <w:spacing w:before="0" w:after="0"/>
        <w:ind w:firstLine="680" w:left="0" w:right="-57"/>
        <w:jc w:val="both"/>
        <w:rPr/>
      </w:pPr>
      <w:r>
        <w:rPr>
          <w:sz w:val="22"/>
          <w:szCs w:val="22"/>
        </w:rPr>
        <w:t>отказ «Заказчика» от подписания акта технического осмотра (обследования) объекта. Действие договора возобновляется после подписания «Заказчиком» акта обследования;</w:t>
      </w:r>
    </w:p>
    <w:p>
      <w:pPr>
        <w:pStyle w:val="311"/>
        <w:widowControl/>
        <w:suppressAutoHyphens w:val="true"/>
        <w:bidi w:val="0"/>
        <w:spacing w:before="0" w:after="0"/>
        <w:ind w:firstLine="680" w:left="0" w:right="-57"/>
        <w:jc w:val="both"/>
        <w:rPr/>
      </w:pPr>
      <w:r>
        <w:rPr>
          <w:sz w:val="22"/>
          <w:szCs w:val="22"/>
        </w:rPr>
        <w:t>возникновение технических причин, препятствующих выполнению взятых на себя «Исполнителем» обязательств по настоящему договору, в том числе в случае отказа «Заказчика» от ремонта (замены) ТСО;</w:t>
      </w:r>
    </w:p>
    <w:p>
      <w:pPr>
        <w:pStyle w:val="311"/>
        <w:widowControl/>
        <w:suppressAutoHyphens w:val="true"/>
        <w:bidi w:val="0"/>
        <w:spacing w:before="0" w:after="0"/>
        <w:ind w:firstLine="680" w:left="0" w:right="-57"/>
        <w:jc w:val="both"/>
        <w:rPr/>
      </w:pPr>
      <w:r>
        <w:rPr>
          <w:sz w:val="22"/>
          <w:szCs w:val="22"/>
        </w:rPr>
        <w:t>необеспечение «Заказчиком» надлежащего технического обслуживания ТСО, неприня</w:t>
      </w:r>
      <w:r>
        <w:rPr>
          <w:sz w:val="22"/>
          <w:szCs w:val="22"/>
          <w:shd w:fill="auto" w:val="clear"/>
        </w:rPr>
        <w:t>тием мер к у</w:t>
      </w:r>
      <w:r>
        <w:rPr>
          <w:rFonts w:eastAsia="Times New Roman" w:cs="Times New Roman"/>
          <w:color w:val="000000"/>
          <w:kern w:val="0"/>
          <w:sz w:val="22"/>
          <w:szCs w:val="22"/>
          <w:shd w:fill="auto" w:val="clear"/>
          <w:lang w:val="ru-RU" w:eastAsia="zh-CN" w:bidi="ar-SA"/>
        </w:rPr>
        <w:t>странению сбоев в работе сигнализации;</w:t>
      </w:r>
    </w:p>
    <w:p>
      <w:pPr>
        <w:pStyle w:val="311"/>
        <w:widowControl/>
        <w:suppressAutoHyphens w:val="true"/>
        <w:bidi w:val="0"/>
        <w:spacing w:before="0" w:after="0"/>
        <w:ind w:firstLine="680" w:left="0" w:right="-57"/>
        <w:jc w:val="both"/>
        <w:rPr>
          <w:highlight w:val="none"/>
          <w:shd w:fill="auto" w:val="clear"/>
        </w:rPr>
      </w:pPr>
      <w:r>
        <w:rPr>
          <w:rFonts w:eastAsia="Times New Roman" w:cs="Times New Roman"/>
          <w:color w:val="000000"/>
          <w:kern w:val="0"/>
          <w:sz w:val="22"/>
          <w:szCs w:val="22"/>
          <w:shd w:fill="auto" w:val="clear"/>
          <w:lang w:val="ru-RU" w:eastAsia="zh-CN" w:bidi="ar-SA"/>
        </w:rPr>
        <w:t>невыполнение «Заказчиком» рекомендаций, требований по обеспечению технической укрепленности объекта, указанных в акте обследования.</w:t>
      </w:r>
    </w:p>
    <w:p>
      <w:pPr>
        <w:pStyle w:val="Standard"/>
        <w:widowControl w:val="false"/>
        <w:suppressAutoHyphens w:val="true"/>
        <w:bidi w:val="0"/>
        <w:ind w:firstLine="680" w:left="0" w:right="-227"/>
        <w:jc w:val="both"/>
        <w:textAlignment w:val="baseline"/>
        <w:rPr>
          <w:highlight w:val="none"/>
          <w:shd w:fill="auto" w:val="clear"/>
        </w:rPr>
      </w:pPr>
      <w:r>
        <w:rPr>
          <w:rFonts w:eastAsia="Times New Roman" w:cs="Times New Roman" w:ascii="Times New Roman" w:hAnsi="Times New Roman"/>
          <w:color w:val="000000"/>
          <w:kern w:val="0"/>
          <w:sz w:val="22"/>
          <w:szCs w:val="22"/>
          <w:shd w:fill="auto" w:val="clear"/>
          <w:lang w:val="ru-RU" w:eastAsia="zh-CN" w:bidi="ar-SA"/>
        </w:rPr>
        <w:t>возникновение дебиторской задолженности, в том числе неоплаты Заказчиком  Адоговорного времени охраны в течение одного и более месяцев со дня выставления документов на  оплату.</w:t>
      </w:r>
    </w:p>
    <w:p>
      <w:pPr>
        <w:pStyle w:val="311"/>
        <w:spacing w:before="0" w:after="0"/>
        <w:ind w:firstLine="709" w:right="-285"/>
        <w:jc w:val="both"/>
        <w:rPr>
          <w:sz w:val="22"/>
          <w:szCs w:val="22"/>
        </w:rPr>
      </w:pPr>
      <w:r>
        <w:rPr>
          <w:sz w:val="22"/>
          <w:szCs w:val="22"/>
        </w:rPr>
        <w:t xml:space="preserve">6.3. «Исполнитель» вправе в любое время расторгнуть договор по иным причинам, не указанным в пункте 6.2 настоящего договора, </w:t>
      </w:r>
      <w:r>
        <w:rPr>
          <w:bCs/>
          <w:sz w:val="22"/>
          <w:szCs w:val="22"/>
        </w:rPr>
        <w:t>не менее чем за 10 рабочих дней</w:t>
      </w:r>
      <w:r>
        <w:rPr>
          <w:sz w:val="22"/>
          <w:szCs w:val="22"/>
        </w:rPr>
        <w:t xml:space="preserve"> уведомив об этом «Заказчика», за исключением случаев, предусмотренных разделом 9 настоящего договора. </w:t>
      </w:r>
    </w:p>
    <w:p>
      <w:pPr>
        <w:pStyle w:val="311"/>
        <w:spacing w:before="0" w:after="0"/>
        <w:ind w:firstLine="709" w:right="-284"/>
        <w:jc w:val="both"/>
        <w:rPr>
          <w:bCs/>
          <w:color w:val="FF0000"/>
          <w:sz w:val="22"/>
          <w:szCs w:val="22"/>
        </w:rPr>
      </w:pPr>
      <w:r>
        <w:rPr>
          <w:sz w:val="22"/>
          <w:szCs w:val="22"/>
        </w:rPr>
        <w:t>6.4. «Заказчик» в</w:t>
      </w:r>
      <w:r>
        <w:rPr>
          <w:bCs/>
          <w:sz w:val="22"/>
          <w:szCs w:val="22"/>
        </w:rPr>
        <w:t xml:space="preserve"> любое время вправе расторгнуть или приостановить действие настоящего договора, письменно уведомив об этом «Исполнителя» не менее чем за 10 рабочих дней</w:t>
      </w:r>
      <w:r>
        <w:rPr>
          <w:b/>
          <w:bCs/>
          <w:sz w:val="22"/>
          <w:szCs w:val="22"/>
        </w:rPr>
        <w:t xml:space="preserve"> </w:t>
      </w:r>
      <w:r>
        <w:rPr>
          <w:bCs/>
          <w:sz w:val="22"/>
          <w:szCs w:val="22"/>
        </w:rPr>
        <w:t>до наступления предполагаемой даты расторжения или приостановления. В заявлении о приостановлении действия договора «Заказчик» указывает определенный срок, когда объект не подлежит централизованному наблюдению.</w:t>
      </w:r>
    </w:p>
    <w:p>
      <w:pPr>
        <w:pStyle w:val="311"/>
        <w:spacing w:before="0" w:after="0"/>
        <w:ind w:firstLine="709" w:right="-285"/>
        <w:jc w:val="both"/>
        <w:rPr/>
      </w:pPr>
      <w:r>
        <w:rPr>
          <w:sz w:val="22"/>
          <w:szCs w:val="22"/>
        </w:rPr>
        <w:t>6.5. Расторжение договора не влечет прекращения обязательств «Заказчика» по оплате оказанных услуг.</w:t>
      </w:r>
    </w:p>
    <w:p>
      <w:pPr>
        <w:pStyle w:val="311"/>
        <w:spacing w:before="0" w:after="0"/>
        <w:ind w:firstLine="709" w:right="-285"/>
        <w:jc w:val="both"/>
        <w:rPr>
          <w:sz w:val="22"/>
          <w:szCs w:val="22"/>
        </w:rPr>
      </w:pPr>
      <w:r>
        <w:rPr>
          <w:sz w:val="22"/>
          <w:szCs w:val="22"/>
        </w:rPr>
      </w:r>
    </w:p>
    <w:p>
      <w:pPr>
        <w:pStyle w:val="31"/>
        <w:tabs>
          <w:tab w:val="clear" w:pos="936"/>
          <w:tab w:val="left" w:pos="284" w:leader="none"/>
        </w:tabs>
        <w:spacing w:before="0" w:after="0"/>
        <w:ind w:firstLine="709" w:left="0"/>
        <w:jc w:val="center"/>
        <w:rPr/>
      </w:pPr>
      <w:r>
        <w:rPr>
          <w:b/>
          <w:sz w:val="22"/>
          <w:szCs w:val="22"/>
        </w:rPr>
        <w:t>7. ОТВЕТСТВЕННОСТЬ СТОРОН</w:t>
      </w:r>
    </w:p>
    <w:p>
      <w:pPr>
        <w:pStyle w:val="31"/>
        <w:tabs>
          <w:tab w:val="clear" w:pos="936"/>
          <w:tab w:val="left" w:pos="284" w:leader="none"/>
        </w:tabs>
        <w:spacing w:before="0" w:after="0"/>
        <w:ind w:firstLine="709" w:left="0"/>
        <w:jc w:val="center"/>
        <w:rPr>
          <w:b/>
          <w:sz w:val="22"/>
          <w:szCs w:val="22"/>
        </w:rPr>
      </w:pPr>
      <w:r>
        <w:rPr>
          <w:b/>
          <w:sz w:val="22"/>
          <w:szCs w:val="22"/>
        </w:rPr>
      </w:r>
    </w:p>
    <w:p>
      <w:pPr>
        <w:pStyle w:val="31"/>
        <w:tabs>
          <w:tab w:val="clear" w:pos="936"/>
          <w:tab w:val="left" w:pos="1701" w:leader="none"/>
        </w:tabs>
        <w:spacing w:before="0" w:after="0"/>
        <w:ind w:firstLine="709" w:left="0" w:right="-285"/>
        <w:jc w:val="both"/>
        <w:rPr/>
      </w:pPr>
      <w:r>
        <w:rPr>
          <w:sz w:val="22"/>
          <w:szCs w:val="22"/>
        </w:rPr>
        <w:t>7.1. «Исполнитель» несет ответственность за реальный ущерб, причиненный хищением имущества на объекте, в результате невыполнения или ненадлежащего выполнения взятых на себя обязательств при наличии его вины. Возмещение ущерба осуществляется в размере, не  превышающем двенадцатикратной суммы ежемесячных платежей, уплачиваемых по настоящему договору за оказание услуг на данном объекте.</w:t>
      </w:r>
    </w:p>
    <w:p>
      <w:pPr>
        <w:pStyle w:val="31"/>
        <w:tabs>
          <w:tab w:val="clear" w:pos="936"/>
          <w:tab w:val="left" w:pos="1701" w:leader="none"/>
        </w:tabs>
        <w:spacing w:before="0" w:after="0"/>
        <w:ind w:firstLine="709" w:left="0" w:right="-285"/>
        <w:jc w:val="both"/>
        <w:rPr/>
      </w:pPr>
      <w:r>
        <w:rPr>
          <w:sz w:val="22"/>
          <w:szCs w:val="22"/>
        </w:rPr>
        <w:t>7.2. В случае установления виновных лиц, имущественный ущерб взыскивается с них «Заказчиком».</w:t>
      </w:r>
    </w:p>
    <w:p>
      <w:pPr>
        <w:pStyle w:val="31"/>
        <w:tabs>
          <w:tab w:val="clear" w:pos="936"/>
          <w:tab w:val="left" w:pos="1701" w:leader="none"/>
        </w:tabs>
        <w:spacing w:before="0" w:after="0"/>
        <w:ind w:firstLine="709" w:left="0" w:right="-285"/>
        <w:jc w:val="both"/>
        <w:rPr/>
      </w:pPr>
      <w:r>
        <w:rPr>
          <w:sz w:val="22"/>
          <w:szCs w:val="22"/>
        </w:rPr>
        <w:t>7.3. При возвращении «Заказчику» похищенного имущества «Заказчик» должен проинформировать об этом «Исполнителя». Стоимость возвращенного имущества исключается из общей суммы причиненного материального ущерба.</w:t>
      </w:r>
    </w:p>
    <w:p>
      <w:pPr>
        <w:pStyle w:val="31"/>
        <w:tabs>
          <w:tab w:val="clear" w:pos="936"/>
          <w:tab w:val="left" w:pos="1701" w:leader="none"/>
        </w:tabs>
        <w:spacing w:before="0" w:after="0"/>
        <w:ind w:firstLine="709" w:left="0" w:right="-285"/>
        <w:jc w:val="both"/>
        <w:rPr/>
      </w:pPr>
      <w:r>
        <w:rPr>
          <w:sz w:val="22"/>
          <w:szCs w:val="22"/>
        </w:rPr>
        <w:t>7.4. «Исполнитель» освобождается от ответственности (не возмещает материальный ущерб «Заказчику»):</w:t>
      </w:r>
    </w:p>
    <w:p>
      <w:pPr>
        <w:pStyle w:val="31"/>
        <w:tabs>
          <w:tab w:val="clear" w:pos="936"/>
          <w:tab w:val="left" w:pos="1701" w:leader="none"/>
        </w:tabs>
        <w:spacing w:before="0" w:after="0"/>
        <w:ind w:firstLine="709" w:left="0" w:right="-285"/>
        <w:jc w:val="both"/>
        <w:rPr/>
      </w:pPr>
      <w:r>
        <w:rPr>
          <w:sz w:val="22"/>
          <w:szCs w:val="22"/>
        </w:rPr>
        <w:t>7.4.1. При отсутствии своей вины;</w:t>
      </w:r>
    </w:p>
    <w:p>
      <w:pPr>
        <w:pStyle w:val="31"/>
        <w:tabs>
          <w:tab w:val="clear" w:pos="936"/>
          <w:tab w:val="left" w:pos="1756" w:leader="none"/>
          <w:tab w:val="left" w:pos="2127" w:leader="none"/>
        </w:tabs>
        <w:spacing w:before="0" w:after="0"/>
        <w:ind w:firstLine="709" w:left="0" w:right="-285"/>
        <w:jc w:val="both"/>
        <w:rPr/>
      </w:pPr>
      <w:r>
        <w:rPr>
          <w:sz w:val="22"/>
          <w:szCs w:val="22"/>
        </w:rPr>
        <w:t>7.4.2. При невыполнении «Заказчиком» обязанностей, предусмотренных разделом 4 настоящего договора, а также рекомендаций, требований по технической укрепленности или оснащенности объекта ТСО в соответствии с предписаниями, указанными в актах обследований объекта;</w:t>
      </w:r>
    </w:p>
    <w:p>
      <w:pPr>
        <w:pStyle w:val="31"/>
        <w:tabs>
          <w:tab w:val="clear" w:pos="936"/>
          <w:tab w:val="left" w:pos="1756" w:leader="none"/>
          <w:tab w:val="left" w:pos="2127" w:leader="none"/>
        </w:tabs>
        <w:spacing w:before="0" w:after="0"/>
        <w:ind w:firstLine="709" w:left="0" w:right="-285"/>
        <w:jc w:val="both"/>
        <w:rPr/>
      </w:pPr>
      <w:r>
        <w:rPr>
          <w:sz w:val="22"/>
          <w:szCs w:val="22"/>
        </w:rPr>
        <w:t>7.4.3. Если совершено хищение товарно-материальных ценностей, оставленных вне мест хранения, определенных нормативными актами, или если места хранения товарно-материальных ценностей не соответствуют требованиям, установленным нормативными актами или указанным в актах обследования;</w:t>
      </w:r>
    </w:p>
    <w:p>
      <w:pPr>
        <w:pStyle w:val="31"/>
        <w:tabs>
          <w:tab w:val="clear" w:pos="936"/>
          <w:tab w:val="left" w:pos="1756" w:leader="none"/>
          <w:tab w:val="left" w:pos="2127" w:leader="none"/>
        </w:tabs>
        <w:spacing w:before="0" w:after="0"/>
        <w:ind w:firstLine="709" w:left="0" w:right="-285"/>
        <w:jc w:val="both"/>
        <w:rPr/>
      </w:pPr>
      <w:r>
        <w:rPr>
          <w:sz w:val="22"/>
          <w:szCs w:val="22"/>
        </w:rPr>
        <w:t>7.4.4. Если наступлению ущерба способствовала неисправная работа установленных на объекте ТСО или «Заказчик» не обеспечил своевременное и качественное техническое обслуживание ТСО;</w:t>
      </w:r>
    </w:p>
    <w:p>
      <w:pPr>
        <w:pStyle w:val="31"/>
        <w:tabs>
          <w:tab w:val="clear" w:pos="936"/>
          <w:tab w:val="left" w:pos="1756" w:leader="none"/>
          <w:tab w:val="left" w:pos="2127" w:leader="none"/>
        </w:tabs>
        <w:spacing w:before="0" w:after="0"/>
        <w:ind w:firstLine="709" w:left="0" w:right="-285"/>
        <w:jc w:val="both"/>
        <w:rPr/>
      </w:pPr>
      <w:r>
        <w:rPr>
          <w:sz w:val="22"/>
          <w:szCs w:val="22"/>
        </w:rPr>
        <w:t>7.4.5. Если наступление ущерба вызвано форс-мажорными обстоятельствами;</w:t>
      </w:r>
    </w:p>
    <w:p>
      <w:pPr>
        <w:pStyle w:val="31"/>
        <w:tabs>
          <w:tab w:val="clear" w:pos="936"/>
          <w:tab w:val="left" w:pos="1756" w:leader="none"/>
          <w:tab w:val="left" w:pos="2127" w:leader="none"/>
        </w:tabs>
        <w:spacing w:before="0" w:after="0"/>
        <w:ind w:firstLine="709" w:left="0" w:right="-285"/>
        <w:jc w:val="both"/>
        <w:rPr/>
      </w:pPr>
      <w:r>
        <w:rPr>
          <w:sz w:val="22"/>
          <w:szCs w:val="22"/>
        </w:rPr>
        <w:t>7.4.6. Если похищены оставленные на объекте личные материальные ценности и денежные средства работников «Заказчика» и третьих лиц, в том числе арендаторов;</w:t>
      </w:r>
    </w:p>
    <w:p>
      <w:pPr>
        <w:pStyle w:val="31"/>
        <w:tabs>
          <w:tab w:val="clear" w:pos="936"/>
          <w:tab w:val="left" w:pos="1756" w:leader="none"/>
          <w:tab w:val="left" w:pos="2127" w:leader="none"/>
        </w:tabs>
        <w:spacing w:before="0" w:after="0"/>
        <w:ind w:firstLine="709" w:left="0" w:right="-285"/>
        <w:jc w:val="both"/>
        <w:rPr/>
      </w:pPr>
      <w:r>
        <w:rPr>
          <w:sz w:val="22"/>
          <w:szCs w:val="22"/>
        </w:rPr>
        <w:t>7.4.7. В случае хищения денежных средств, оставленных в помещении сверх сумм, которые «Заказчик» вправе был оставить на объекте (лимит кассы);</w:t>
      </w:r>
    </w:p>
    <w:p>
      <w:pPr>
        <w:pStyle w:val="31"/>
        <w:tabs>
          <w:tab w:val="clear" w:pos="936"/>
          <w:tab w:val="left" w:pos="1756" w:leader="none"/>
          <w:tab w:val="left" w:pos="2127" w:leader="none"/>
        </w:tabs>
        <w:spacing w:before="0" w:after="0"/>
        <w:ind w:firstLine="709" w:left="0" w:right="-285"/>
        <w:jc w:val="both"/>
        <w:rPr/>
      </w:pPr>
      <w:r>
        <w:rPr>
          <w:sz w:val="22"/>
          <w:szCs w:val="22"/>
        </w:rPr>
        <w:t>7.4.8. За ущерб, причиненный преступником внутри помещения, если он проник до его закрытия или через не заблокированные средствами сигнализации места (даже если преступник покинул объект через заблокированные места), либо проникновение произошло с использованием кодовых наименований объекта или электронных ключей «Заказчика»;</w:t>
      </w:r>
    </w:p>
    <w:p>
      <w:pPr>
        <w:pStyle w:val="31"/>
        <w:tabs>
          <w:tab w:val="clear" w:pos="936"/>
          <w:tab w:val="left" w:pos="1756" w:leader="none"/>
          <w:tab w:val="left" w:pos="2127" w:leader="none"/>
        </w:tabs>
        <w:spacing w:before="0" w:after="0"/>
        <w:ind w:firstLine="709" w:left="0" w:right="-285"/>
        <w:jc w:val="both"/>
        <w:rPr/>
      </w:pPr>
      <w:r>
        <w:rPr>
          <w:sz w:val="22"/>
          <w:szCs w:val="22"/>
        </w:rPr>
        <w:t>7.4.9. При нарушении «Заказчиком» порядка сдачи (снятия) объектов под централизованное наблюдение;</w:t>
      </w:r>
    </w:p>
    <w:p>
      <w:pPr>
        <w:pStyle w:val="31"/>
        <w:tabs>
          <w:tab w:val="clear" w:pos="936"/>
          <w:tab w:val="left" w:pos="1756" w:leader="none"/>
          <w:tab w:val="left" w:pos="2127" w:leader="none"/>
        </w:tabs>
        <w:spacing w:before="0" w:after="0"/>
        <w:ind w:firstLine="709" w:left="0" w:right="-285"/>
        <w:jc w:val="both"/>
        <w:rPr/>
      </w:pPr>
      <w:r>
        <w:rPr>
          <w:sz w:val="22"/>
          <w:szCs w:val="22"/>
        </w:rPr>
        <w:t>7.4.10. За хищение имущества, если оно совершено при не включении «Заказчиком» сигнализации, не сдаче объекта под наблюдение, снятии его с наблюдения, не сообщении «Исполнителю» о неисправности сигнализации или в период  времени, когда охрана объекта  временно не могла осуществляться по не зависящим от «Исполнителя» техническим причинам (отключение телефона, канала «</w:t>
      </w:r>
      <w:r>
        <w:rPr>
          <w:color w:val="000000"/>
          <w:sz w:val="22"/>
          <w:szCs w:val="22"/>
        </w:rPr>
        <w:t>Ethernet», GSM</w:t>
      </w:r>
      <w:r>
        <w:rPr>
          <w:sz w:val="22"/>
          <w:szCs w:val="22"/>
        </w:rPr>
        <w:t xml:space="preserve">, неисправность телефонной линии, изменения параметров телефонной линии связи, используемой в качестве канала передачи сообщений о состоянии ТСО, не позволяющих осуществлять централизованное наблюдение за состоянием ТСО,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электроэнергии и т.п.).  </w:t>
      </w:r>
    </w:p>
    <w:p>
      <w:pPr>
        <w:pStyle w:val="31"/>
        <w:tabs>
          <w:tab w:val="clear" w:pos="936"/>
          <w:tab w:val="left" w:pos="1756" w:leader="none"/>
          <w:tab w:val="left" w:pos="2127" w:leader="none"/>
        </w:tabs>
        <w:spacing w:before="0" w:after="0"/>
        <w:ind w:firstLine="709" w:left="0" w:right="-285"/>
        <w:jc w:val="both"/>
        <w:rPr/>
      </w:pPr>
      <w:r>
        <w:rPr>
          <w:sz w:val="22"/>
          <w:szCs w:val="22"/>
        </w:rPr>
        <w:t>7.4.11. В случаях не пересдачи объекта на ПЦН, по причинам, за которые «Исполнитель» не отвечает (отказ уполномоченного представителя «Заказчика» выехать, отсутствие у него ключей, сдача объекта на чужую фамилию, отсутствие уполномоченных лиц «Заказчика» по месту жительства, непр</w:t>
      </w:r>
      <w:r>
        <w:rPr>
          <w:sz w:val="22"/>
          <w:szCs w:val="22"/>
          <w:shd w:fill="auto" w:val="clear"/>
        </w:rPr>
        <w:t>авильное указание их домашнего адреса, фамилии, имени, отчества и в иных случаях, указанных в п. 3.2.7 и 3.2.8 договора), а также при отсутствии возможности доступа «Исполнителя» во все помещения объектов для их осмотра;</w:t>
      </w:r>
    </w:p>
    <w:p>
      <w:pPr>
        <w:pStyle w:val="31"/>
        <w:tabs>
          <w:tab w:val="clear" w:pos="936"/>
          <w:tab w:val="left" w:pos="1756" w:leader="none"/>
          <w:tab w:val="left" w:pos="2127" w:leader="none"/>
        </w:tabs>
        <w:spacing w:before="0" w:after="0"/>
        <w:ind w:firstLine="709" w:left="0" w:right="-285"/>
        <w:jc w:val="both"/>
        <w:rPr/>
      </w:pPr>
      <w:r>
        <w:rPr>
          <w:sz w:val="22"/>
          <w:szCs w:val="22"/>
        </w:rPr>
        <w:t>7.4.12.  В случае совершения хищения во время, не указанное в Перечне услуг;</w:t>
      </w:r>
    </w:p>
    <w:p>
      <w:pPr>
        <w:pStyle w:val="31"/>
        <w:tabs>
          <w:tab w:val="clear" w:pos="936"/>
          <w:tab w:val="left" w:pos="1756" w:leader="none"/>
          <w:tab w:val="left" w:pos="2127" w:leader="none"/>
        </w:tabs>
        <w:spacing w:before="0" w:after="0"/>
        <w:ind w:firstLine="709" w:left="0" w:right="-285"/>
        <w:jc w:val="both"/>
        <w:rPr/>
      </w:pPr>
      <w:r>
        <w:rPr>
          <w:sz w:val="22"/>
          <w:szCs w:val="22"/>
        </w:rPr>
        <w:t xml:space="preserve">7.4.13. За ущерб, причиненный при нарушении целостности объекта в ходе проникновения или при попытке проникновения на объект посторонних лиц, конструкциям и деталям, расположенным по внешнему периметру объекта (замки, двери, окна, оконные, дверные и витринные стекла и т.д.), а также за ущерб, причиненный «Исполнителем» при пресечении противоправных действий в отношении объекта и находящегося в нем имущества; </w:t>
      </w:r>
    </w:p>
    <w:p>
      <w:pPr>
        <w:pStyle w:val="31"/>
        <w:tabs>
          <w:tab w:val="clear" w:pos="936"/>
          <w:tab w:val="left" w:pos="1756" w:leader="none"/>
          <w:tab w:val="left" w:pos="2127" w:leader="none"/>
        </w:tabs>
        <w:spacing w:before="0" w:after="0"/>
        <w:ind w:firstLine="709" w:left="0" w:right="-285"/>
        <w:jc w:val="both"/>
        <w:rPr/>
      </w:pPr>
      <w:r>
        <w:rPr>
          <w:sz w:val="22"/>
          <w:szCs w:val="22"/>
        </w:rPr>
        <w:t>7.4.14. Если лица, проникшие на объект, задержаны «Исполнителем»;</w:t>
      </w:r>
    </w:p>
    <w:p>
      <w:pPr>
        <w:pStyle w:val="31"/>
        <w:tabs>
          <w:tab w:val="clear" w:pos="936"/>
          <w:tab w:val="left" w:pos="1756" w:leader="none"/>
          <w:tab w:val="left" w:pos="2127" w:leader="none"/>
        </w:tabs>
        <w:spacing w:before="0" w:after="0"/>
        <w:ind w:firstLine="709" w:left="0" w:right="-285"/>
        <w:jc w:val="both"/>
        <w:rPr/>
      </w:pPr>
      <w:r>
        <w:rPr>
          <w:sz w:val="22"/>
          <w:szCs w:val="22"/>
        </w:rPr>
        <w:t>7.4.15. Если лицо, виновное в п</w:t>
      </w:r>
      <w:r>
        <w:rPr>
          <w:rFonts w:eastAsia="Times New Roman" w:cs="Times New Roman"/>
          <w:color w:val="auto"/>
          <w:kern w:val="0"/>
          <w:sz w:val="22"/>
          <w:szCs w:val="22"/>
          <w:lang w:val="ru-RU" w:eastAsia="zh-CN" w:bidi="ar-SA"/>
        </w:rPr>
        <w:t>ричинении имущественного ущерба, установлено.</w:t>
      </w:r>
    </w:p>
    <w:p>
      <w:pPr>
        <w:pStyle w:val="31"/>
        <w:tabs>
          <w:tab w:val="clear" w:pos="936"/>
          <w:tab w:val="left" w:pos="1756" w:leader="none"/>
          <w:tab w:val="left" w:pos="2127" w:leader="none"/>
        </w:tabs>
        <w:spacing w:before="0" w:after="0"/>
        <w:ind w:firstLine="709" w:left="0" w:right="-285"/>
        <w:jc w:val="both"/>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t>7.4.16. Если хищение совершено при выходе из строя приемно-контрольного прибора, наличии нулевого или отрицательного баланса на лицевом счете SIM-карты и оператора, предоставляющего услуги «Ethernet», а также в случае не прохождения сигнала «тревога» на ПЦН  из-за некачественного предоставления «Заказчику» оператором связи услуг «Ethernet» и GSM, неправильной настройки (неисправности) радиопередающего оборудования и (или) антенно-фидерного тракта.</w:t>
      </w:r>
    </w:p>
    <w:p>
      <w:pPr>
        <w:pStyle w:val="Normal"/>
        <w:ind w:firstLine="709" w:right="-285"/>
        <w:jc w:val="both"/>
        <w:rPr/>
      </w:pPr>
      <w:r>
        <w:rPr>
          <w:rFonts w:eastAsia="Times New Roman" w:cs="Times New Roman"/>
          <w:color w:val="auto"/>
          <w:kern w:val="0"/>
          <w:sz w:val="22"/>
          <w:szCs w:val="22"/>
          <w:lang w:val="ru-RU" w:eastAsia="zh-CN" w:bidi="ar-SA"/>
        </w:rPr>
        <w:t>7.5. До обращения в суд «Заказчик»</w:t>
      </w:r>
      <w:r>
        <w:rPr>
          <w:sz w:val="22"/>
          <w:szCs w:val="22"/>
        </w:rPr>
        <w:t xml:space="preserve"> обязан направить «Исполнителю» претензию о возмещении ущерба. Возмещение «Заказчику» причиненного по вине «Исполнителя» ущерба производится при наличии акта инвентаризации (ревизии) с расчетом стоимости похищенного имущества, </w:t>
      </w:r>
      <w:r>
        <w:rPr>
          <w:bCs/>
          <w:sz w:val="22"/>
          <w:szCs w:val="22"/>
        </w:rPr>
        <w:t xml:space="preserve">документов, подтверждающих принадлежность похищенного имущества «Заказчику», документов органов предварительного расследования, </w:t>
      </w:r>
      <w:r>
        <w:rPr>
          <w:sz w:val="22"/>
          <w:szCs w:val="22"/>
        </w:rPr>
        <w:t xml:space="preserve">подтверждающих факт кражи товарно-материальных ценностей посторонними лицами, проникшими на объект. Указанные документы должны быть приложены к претензии. При этом размер причиненного ущерба должен быть подтвержден и обоснован первичными бухгалтерскими документами, документами аналитического и синтетического бухгалтерского учета.  </w:t>
      </w:r>
    </w:p>
    <w:p>
      <w:pPr>
        <w:pStyle w:val="Normal"/>
        <w:ind w:firstLine="709" w:right="-285"/>
        <w:jc w:val="both"/>
        <w:rPr/>
      </w:pPr>
      <w:r>
        <w:rPr>
          <w:sz w:val="22"/>
          <w:szCs w:val="22"/>
        </w:rPr>
        <w:t>7.6. Возмещение материального ущерба в результате хищения по п. 7.1. производится «Исполнителем» на основании вступившего в законную силу решения суда, подтверждающего вину «Исполнителя».</w:t>
      </w:r>
    </w:p>
    <w:p>
      <w:pPr>
        <w:pStyle w:val="Normal"/>
        <w:ind w:firstLine="709"/>
        <w:jc w:val="center"/>
        <w:rPr>
          <w:b/>
          <w:sz w:val="22"/>
          <w:szCs w:val="22"/>
        </w:rPr>
      </w:pPr>
      <w:r>
        <w:rPr>
          <w:b/>
          <w:sz w:val="22"/>
          <w:szCs w:val="22"/>
        </w:rPr>
      </w:r>
    </w:p>
    <w:p>
      <w:pPr>
        <w:pStyle w:val="Normal"/>
        <w:ind w:firstLine="709"/>
        <w:jc w:val="center"/>
        <w:rPr>
          <w:sz w:val="22"/>
          <w:szCs w:val="22"/>
        </w:rPr>
      </w:pPr>
      <w:r>
        <w:rPr>
          <w:b/>
          <w:sz w:val="22"/>
          <w:szCs w:val="22"/>
        </w:rPr>
        <w:t>8. АНТИКОРРУПЦИОННАЯ ОГОВОРКА</w:t>
      </w:r>
    </w:p>
    <w:p>
      <w:pPr>
        <w:pStyle w:val="Normal"/>
        <w:ind w:firstLine="709"/>
        <w:jc w:val="center"/>
        <w:rPr>
          <w:b/>
        </w:rPr>
      </w:pPr>
      <w:r>
        <w:rPr>
          <w:b/>
        </w:rPr>
      </w:r>
    </w:p>
    <w:p>
      <w:pPr>
        <w:pStyle w:val="2"/>
        <w:spacing w:before="0" w:after="0"/>
        <w:ind w:firstLine="709"/>
        <w:jc w:val="both"/>
        <w:rPr>
          <w:lang w:val="ru-RU"/>
        </w:rPr>
      </w:pPr>
      <w:r>
        <w:rPr>
          <w:sz w:val="22"/>
          <w:szCs w:val="22"/>
          <w:lang w:val="ru-RU"/>
        </w:rPr>
        <w:t xml:space="preserve">8.1. </w:t>
      </w:r>
      <w:r>
        <w:rPr>
          <w:sz w:val="22"/>
          <w:szCs w:val="22"/>
          <w:lang w:val="ru-RU" w:eastAsia="ru-RU"/>
        </w:rPr>
        <w:t>При исполнении своих обязательств по настоящему договору стороны, их работники (сотрудники)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2"/>
        <w:spacing w:before="0" w:after="0"/>
        <w:ind w:firstLine="709"/>
        <w:jc w:val="both"/>
        <w:rPr>
          <w:lang w:val="ru-RU"/>
        </w:rPr>
      </w:pPr>
      <w:r>
        <w:rPr>
          <w:sz w:val="22"/>
          <w:szCs w:val="22"/>
          <w:lang w:val="ru-RU" w:eastAsia="ru-RU"/>
        </w:rPr>
        <w:t>8.2. При исполнении своих обязательств по настоящему договору стороны, их работники (сотрудники) или посредники не осуществляют действия, квалифицируемые действующим законодательством как дача (получение взятки), коммерческий подкуп.</w:t>
      </w:r>
    </w:p>
    <w:p>
      <w:pPr>
        <w:pStyle w:val="2"/>
        <w:spacing w:before="0" w:after="0"/>
        <w:ind w:firstLine="709"/>
        <w:jc w:val="both"/>
        <w:rPr>
          <w:lang w:val="ru-RU"/>
        </w:rPr>
      </w:pPr>
      <w:r>
        <w:rPr>
          <w:sz w:val="22"/>
          <w:szCs w:val="22"/>
          <w:lang w:val="ru-RU" w:eastAsia="ru-RU"/>
        </w:rPr>
        <w:t xml:space="preserve">8.3. 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w:t>
      </w:r>
    </w:p>
    <w:p>
      <w:pPr>
        <w:pStyle w:val="Normal"/>
        <w:ind w:firstLine="709"/>
        <w:jc w:val="both"/>
        <w:rPr>
          <w:sz w:val="22"/>
          <w:szCs w:val="22"/>
        </w:rPr>
      </w:pPr>
      <w:r>
        <w:rPr>
          <w:sz w:val="22"/>
          <w:szCs w:val="22"/>
        </w:rPr>
      </w:r>
    </w:p>
    <w:p>
      <w:pPr>
        <w:pStyle w:val="Normal"/>
        <w:shd w:val="clear" w:color="auto" w:fill="FFFFFF"/>
        <w:suppressAutoHyphens w:val="false"/>
        <w:snapToGrid w:val="false"/>
        <w:ind w:firstLine="709" w:left="34"/>
        <w:jc w:val="center"/>
        <w:rPr>
          <w:b/>
          <w:sz w:val="22"/>
          <w:szCs w:val="22"/>
          <w:lang w:eastAsia="ru-RU"/>
        </w:rPr>
      </w:pPr>
      <w:r>
        <w:rPr>
          <w:b/>
          <w:sz w:val="22"/>
          <w:szCs w:val="22"/>
          <w:lang w:eastAsia="ru-RU"/>
        </w:rPr>
        <w:t>9. ДЕЙСТВИЕ ОБСТОЯТЕЛЬСТВ НЕПРЕОДОЛИМОЙ СИЛЫ</w:t>
      </w:r>
    </w:p>
    <w:p>
      <w:pPr>
        <w:pStyle w:val="Normal"/>
        <w:shd w:val="clear" w:color="auto" w:fill="FFFFFF"/>
        <w:suppressAutoHyphens w:val="false"/>
        <w:snapToGrid w:val="false"/>
        <w:ind w:firstLine="709" w:left="34"/>
        <w:jc w:val="center"/>
        <w:rPr>
          <w:b/>
          <w:sz w:val="22"/>
          <w:szCs w:val="22"/>
          <w:lang w:eastAsia="ru-RU"/>
        </w:rPr>
      </w:pPr>
      <w:r>
        <w:rPr>
          <w:b/>
          <w:sz w:val="22"/>
          <w:szCs w:val="22"/>
          <w:lang w:eastAsia="ru-RU"/>
        </w:rPr>
        <w:t>(ФОРС-МАЖОР)</w:t>
      </w:r>
    </w:p>
    <w:p>
      <w:pPr>
        <w:pStyle w:val="Normal"/>
        <w:shd w:val="clear" w:color="auto" w:fill="FFFFFF"/>
        <w:suppressAutoHyphens w:val="false"/>
        <w:snapToGrid w:val="false"/>
        <w:ind w:firstLine="709" w:left="34"/>
        <w:jc w:val="both"/>
        <w:rPr>
          <w:sz w:val="22"/>
          <w:szCs w:val="22"/>
          <w:lang w:eastAsia="ru-RU"/>
        </w:rPr>
      </w:pPr>
      <w:r>
        <w:rPr>
          <w:sz w:val="22"/>
          <w:szCs w:val="22"/>
          <w:lang w:eastAsia="ru-RU"/>
        </w:rPr>
        <w:t xml:space="preserve">9.1. 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 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Normal"/>
        <w:shd w:val="clear" w:color="auto" w:fill="FFFFFF"/>
        <w:suppressAutoHyphens w:val="false"/>
        <w:snapToGrid w:val="false"/>
        <w:ind w:firstLine="709" w:left="34"/>
        <w:jc w:val="both"/>
        <w:rPr>
          <w:sz w:val="22"/>
          <w:szCs w:val="22"/>
          <w:lang w:eastAsia="ru-RU"/>
        </w:rPr>
      </w:pPr>
      <w:r>
        <w:rPr>
          <w:sz w:val="22"/>
          <w:szCs w:val="22"/>
          <w:lang w:eastAsia="ru-RU"/>
        </w:rPr>
        <w:t>9.2. При наступлении таких обстоятельств, срок исполнения обязательств по                настоящему Договору отодвигается соразмерно времени действия данных обстоятельств,        поскольку эти обстоятельства значительно влияют на исполнение настоящего Договора в срок.</w:t>
      </w:r>
    </w:p>
    <w:p>
      <w:pPr>
        <w:pStyle w:val="Normal"/>
        <w:shd w:val="clear" w:color="auto" w:fill="FFFFFF"/>
        <w:suppressAutoHyphens w:val="false"/>
        <w:snapToGrid w:val="false"/>
        <w:ind w:firstLine="709" w:left="34"/>
        <w:jc w:val="both"/>
        <w:rPr>
          <w:sz w:val="22"/>
          <w:szCs w:val="22"/>
          <w:lang w:eastAsia="ru-RU"/>
        </w:rPr>
      </w:pPr>
      <w:r>
        <w:rPr>
          <w:sz w:val="22"/>
          <w:szCs w:val="22"/>
          <w:lang w:eastAsia="ru-RU"/>
        </w:rPr>
        <w:t>9.3. Сторона, для которой надлежащее исполнение обязательств оказалось                    невозможным вследствие возникновения обстоятельств непреодолимой силы, обязана в          течение 5 (пяти) календарных дней с даты возникновения таких обстоятельств уведомить в письменной форме другую Сторону об их возникновении, виде и возможной                          продолжительности действия.</w:t>
      </w:r>
    </w:p>
    <w:p>
      <w:pPr>
        <w:pStyle w:val="Normal"/>
        <w:shd w:val="clear" w:color="auto" w:fill="FFFFFF"/>
        <w:suppressAutoHyphens w:val="false"/>
        <w:snapToGrid w:val="false"/>
        <w:ind w:firstLine="709" w:left="34"/>
        <w:jc w:val="both"/>
        <w:rPr>
          <w:sz w:val="22"/>
          <w:szCs w:val="22"/>
          <w:lang w:eastAsia="ru-RU"/>
        </w:rPr>
      </w:pPr>
      <w:r>
        <w:rPr>
          <w:sz w:val="22"/>
          <w:szCs w:val="22"/>
          <w:lang w:eastAsia="ru-RU"/>
        </w:rPr>
        <w:t>9.4. Если обстоятельства, указанные в п. 9.1 настоящего Договора, будут длиться более двух календарных месяцев с даты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pPr>
        <w:pStyle w:val="Normal"/>
        <w:ind w:firstLine="709"/>
        <w:jc w:val="both"/>
        <w:rPr>
          <w:sz w:val="22"/>
          <w:szCs w:val="22"/>
        </w:rPr>
      </w:pPr>
      <w:r>
        <w:rPr>
          <w:sz w:val="22"/>
          <w:szCs w:val="22"/>
        </w:rPr>
      </w:r>
    </w:p>
    <w:p>
      <w:pPr>
        <w:pStyle w:val="311"/>
        <w:spacing w:before="0" w:after="0"/>
        <w:ind w:firstLine="709"/>
        <w:jc w:val="center"/>
        <w:rPr/>
      </w:pPr>
      <w:r>
        <w:rPr>
          <w:b/>
          <w:sz w:val="22"/>
          <w:szCs w:val="22"/>
        </w:rPr>
        <w:t>10. ДОПОЛНИТЕЛЬНЫЕ УСЛОВИЯ</w:t>
      </w:r>
    </w:p>
    <w:p>
      <w:pPr>
        <w:pStyle w:val="31"/>
        <w:spacing w:before="0" w:after="0"/>
        <w:ind w:firstLine="709" w:left="0"/>
        <w:jc w:val="both"/>
        <w:rPr/>
      </w:pPr>
      <w:r>
        <w:rPr>
          <w:sz w:val="22"/>
          <w:szCs w:val="22"/>
        </w:rPr>
        <w:t xml:space="preserve">10.1. В случаях, не предусмотренных условиями договора, стороны руководствуются действующим законодательством Российской Федерации. </w:t>
      </w:r>
    </w:p>
    <w:p>
      <w:pPr>
        <w:pStyle w:val="31"/>
        <w:spacing w:before="0" w:after="0"/>
        <w:ind w:firstLine="709" w:left="0"/>
        <w:jc w:val="both"/>
        <w:rPr/>
      </w:pPr>
      <w:r>
        <w:rPr>
          <w:sz w:val="22"/>
          <w:szCs w:val="22"/>
        </w:rPr>
        <w:t>10.2. Все споры и разногласия, возникшие при исполнении условий настоящего договора, стороны разрешают путем переговоров, а в случае их не урегулирования – в исковом, приказном порядке посредством обращения в Арбитражный суд Ярославской области по истечении 15 календарных дней со дня направления претензии.</w:t>
      </w:r>
    </w:p>
    <w:p>
      <w:pPr>
        <w:pStyle w:val="31"/>
        <w:spacing w:before="0" w:after="0"/>
        <w:ind w:firstLine="709" w:left="0"/>
        <w:jc w:val="both"/>
        <w:rPr/>
      </w:pPr>
      <w:r>
        <w:rPr>
          <w:sz w:val="22"/>
          <w:szCs w:val="22"/>
        </w:rPr>
        <w:t>10.3. Доказательством оказания услуг по настоящему договору наряду с иными доказательствами может являться отчет, полученный «Исполнителем» с помощью программного обеспечения системы передачи извещений (распечатка с ПЦН/протокол событий автоматизированного рабочего места).</w:t>
      </w:r>
    </w:p>
    <w:p>
      <w:pPr>
        <w:pStyle w:val="31"/>
        <w:spacing w:before="0" w:after="0"/>
        <w:ind w:firstLine="709" w:left="0"/>
        <w:jc w:val="both"/>
        <w:rPr/>
      </w:pPr>
      <w:r>
        <w:rPr>
          <w:sz w:val="22"/>
          <w:szCs w:val="22"/>
        </w:rPr>
        <w:t xml:space="preserve">10.4. Настоящий  договор составлен в двух экземплярах, имеющих одинаковую юридическую силу, по одному для каждой стороны. </w:t>
      </w:r>
    </w:p>
    <w:p>
      <w:pPr>
        <w:pStyle w:val="31"/>
        <w:spacing w:before="0" w:after="0"/>
        <w:ind w:firstLine="709" w:left="0"/>
        <w:jc w:val="both"/>
        <w:rPr/>
      </w:pPr>
      <w:r>
        <w:rPr>
          <w:sz w:val="22"/>
          <w:szCs w:val="22"/>
        </w:rPr>
        <w:t>10.5. «Заказчик» ознакомлен с тарифами на охрану, действующими в ФГКУ «УВО ВНГ России по Ярославской области».</w:t>
      </w:r>
    </w:p>
    <w:p>
      <w:pPr>
        <w:pStyle w:val="31"/>
        <w:spacing w:before="0" w:after="0"/>
        <w:ind w:firstLine="709" w:left="0"/>
        <w:jc w:val="both"/>
        <w:rPr/>
      </w:pPr>
      <w:r>
        <w:rPr>
          <w:sz w:val="22"/>
          <w:szCs w:val="22"/>
        </w:rPr>
        <w:t>10.6. Приложениями к договору являются:</w:t>
      </w:r>
    </w:p>
    <w:p>
      <w:pPr>
        <w:pStyle w:val="Normal"/>
        <w:ind w:firstLine="709"/>
        <w:jc w:val="both"/>
        <w:rPr/>
      </w:pPr>
      <w:r>
        <w:rPr>
          <w:sz w:val="22"/>
          <w:szCs w:val="22"/>
        </w:rPr>
        <w:t xml:space="preserve">Приложение № 1 к договору – Перечень </w:t>
      </w:r>
      <w:r>
        <w:rPr>
          <w:bCs/>
          <w:sz w:val="22"/>
          <w:szCs w:val="22"/>
        </w:rPr>
        <w:t>услуг.</w:t>
      </w:r>
    </w:p>
    <w:p>
      <w:pPr>
        <w:pStyle w:val="31"/>
        <w:spacing w:before="0" w:after="0"/>
        <w:ind w:firstLine="709" w:left="0"/>
        <w:jc w:val="both"/>
        <w:rPr/>
      </w:pPr>
      <w:r>
        <w:rPr>
          <w:sz w:val="22"/>
          <w:szCs w:val="22"/>
        </w:rPr>
        <w:t>Приложение № 2 к договору - Согласие на обработку персональных данных (при заключении договоров с индивидуальными предпринимателями, самозанятыми лицами).</w:t>
      </w:r>
    </w:p>
    <w:p>
      <w:pPr>
        <w:pStyle w:val="31"/>
        <w:spacing w:before="0" w:after="0"/>
        <w:ind w:firstLine="284" w:left="0"/>
        <w:jc w:val="both"/>
        <w:rPr>
          <w:b/>
          <w:sz w:val="22"/>
          <w:szCs w:val="22"/>
        </w:rPr>
      </w:pPr>
      <w:r>
        <w:rPr>
          <w:b/>
          <w:sz w:val="22"/>
          <w:szCs w:val="22"/>
        </w:rPr>
      </w:r>
    </w:p>
    <w:p>
      <w:pPr>
        <w:sectPr>
          <w:headerReference w:type="even" r:id="rId2"/>
          <w:headerReference w:type="default" r:id="rId3"/>
          <w:headerReference w:type="first" r:id="rId4"/>
          <w:type w:val="nextPage"/>
          <w:pgSz w:w="11906" w:h="16838"/>
          <w:pgMar w:left="1701" w:right="1134" w:gutter="0" w:header="425" w:top="1134" w:footer="0" w:bottom="1134"/>
          <w:pgNumType w:start="3" w:fmt="decimal"/>
          <w:formProt w:val="false"/>
          <w:titlePg/>
          <w:textDirection w:val="lrTb"/>
          <w:docGrid w:type="default" w:linePitch="272" w:charSpace="16384"/>
        </w:sectPr>
        <w:pStyle w:val="31"/>
        <w:spacing w:before="0" w:after="0"/>
        <w:ind w:firstLine="284" w:left="0"/>
        <w:jc w:val="center"/>
        <w:rPr/>
      </w:pPr>
      <w:r>
        <w:rPr>
          <w:b/>
          <w:sz w:val="22"/>
          <w:szCs w:val="22"/>
        </w:rPr>
        <w:t>ЮРИДИЧЕСКИЕ АДРЕСА,  РЕКВИЗИТЫ И ПОДПИСИ СТОРОН</w:t>
      </w:r>
    </w:p>
    <w:p>
      <w:pPr>
        <w:pStyle w:val="Normal"/>
        <w:ind w:hanging="0" w:right="-1"/>
        <w:jc w:val="center"/>
        <w:rPr/>
      </w:pPr>
      <w:r>
        <w:rPr>
          <w:sz w:val="24"/>
          <w:szCs w:val="24"/>
        </w:rPr>
        <w:t>(рекомендуемая форма)</w:t>
      </w:r>
    </w:p>
    <w:p>
      <w:pPr>
        <w:pStyle w:val="11"/>
        <w:ind w:hanging="0" w:left="9072" w:right="-1"/>
        <w:jc w:val="both"/>
        <w:rPr>
          <w:rFonts w:ascii="Times New Roman" w:hAnsi="Times New Roman" w:cs="Times New Roman"/>
          <w:sz w:val="22"/>
          <w:szCs w:val="22"/>
        </w:rPr>
      </w:pPr>
      <w:r>
        <w:rPr>
          <w:rFonts w:cs="Times New Roman" w:ascii="Times New Roman" w:hAnsi="Times New Roman"/>
          <w:sz w:val="22"/>
          <w:szCs w:val="22"/>
        </w:rPr>
      </w:r>
    </w:p>
    <w:p>
      <w:pPr>
        <w:pStyle w:val="11"/>
        <w:ind w:hanging="0" w:left="9072" w:right="-1"/>
        <w:jc w:val="both"/>
        <w:rPr>
          <w:rFonts w:ascii="Times New Roman" w:hAnsi="Times New Roman" w:cs="Times New Roman"/>
          <w:sz w:val="22"/>
          <w:szCs w:val="22"/>
        </w:rPr>
      </w:pPr>
      <w:r>
        <w:rPr>
          <w:rFonts w:cs="Times New Roman" w:ascii="Times New Roman" w:hAnsi="Times New Roman"/>
          <w:sz w:val="22"/>
          <w:szCs w:val="22"/>
        </w:rPr>
      </w:r>
    </w:p>
    <w:p>
      <w:pPr>
        <w:pStyle w:val="11"/>
        <w:ind w:hanging="0" w:left="9072" w:right="-1"/>
        <w:jc w:val="both"/>
        <w:rPr>
          <w:sz w:val="22"/>
          <w:szCs w:val="22"/>
        </w:rPr>
      </w:pPr>
      <w:r>
        <w:rPr>
          <w:rFonts w:cs="Times New Roman" w:ascii="Times New Roman" w:hAnsi="Times New Roman"/>
          <w:sz w:val="22"/>
          <w:szCs w:val="22"/>
        </w:rPr>
        <w:t xml:space="preserve">Приложение № 1 к договору </w:t>
      </w:r>
    </w:p>
    <w:p>
      <w:pPr>
        <w:pStyle w:val="11"/>
        <w:ind w:hanging="0" w:left="9072" w:right="-1"/>
        <w:jc w:val="both"/>
        <w:rPr>
          <w:sz w:val="22"/>
          <w:szCs w:val="22"/>
        </w:rPr>
      </w:pPr>
      <w:r>
        <w:rPr>
          <w:rFonts w:cs="Times New Roman" w:ascii="Times New Roman" w:hAnsi="Times New Roman"/>
          <w:sz w:val="22"/>
          <w:szCs w:val="22"/>
        </w:rPr>
        <w:t xml:space="preserve">№ </w:t>
      </w:r>
      <w:r>
        <w:rPr>
          <w:rFonts w:cs="Times New Roman" w:ascii="Times New Roman" w:hAnsi="Times New Roman"/>
          <w:sz w:val="22"/>
          <w:szCs w:val="22"/>
        </w:rPr>
        <w:t xml:space="preserve">____ от ___. __________._______ г. </w:t>
      </w:r>
    </w:p>
    <w:p>
      <w:pPr>
        <w:pStyle w:val="Normal"/>
        <w:ind w:hanging="0" w:right="-1"/>
        <w:jc w:val="center"/>
        <w:rPr>
          <w:i/>
          <w:i/>
          <w:sz w:val="22"/>
          <w:szCs w:val="22"/>
        </w:rPr>
      </w:pPr>
      <w:r>
        <w:rPr>
          <w:i/>
          <w:sz w:val="22"/>
          <w:szCs w:val="22"/>
        </w:rPr>
      </w:r>
    </w:p>
    <w:p>
      <w:pPr>
        <w:pStyle w:val="Normal"/>
        <w:rPr/>
      </w:pPr>
      <w:r>
        <w:rPr/>
      </w:r>
    </w:p>
    <w:p>
      <w:pPr>
        <w:pStyle w:val="Normal"/>
        <w:jc w:val="center"/>
        <w:rPr/>
      </w:pPr>
      <w:r>
        <w:rPr>
          <w:b/>
          <w:bCs/>
        </w:rPr>
        <w:t>ПЕРЕЧЕНЬ</w:t>
      </w:r>
    </w:p>
    <w:p>
      <w:pPr>
        <w:pStyle w:val="Normal"/>
        <w:jc w:val="center"/>
        <w:rPr/>
      </w:pPr>
      <w:r>
        <w:rPr>
          <w:b/>
          <w:bCs/>
        </w:rPr>
        <w:t>охраняемых объектов (помещений) и услуг, оказываемых «Исполнителем» «Заказчику»</w:t>
      </w:r>
    </w:p>
    <w:p>
      <w:pPr>
        <w:pStyle w:val="Normal"/>
        <w:jc w:val="center"/>
        <w:rPr/>
      </w:pPr>
      <w:r>
        <w:rPr>
          <w:b/>
        </w:rPr>
        <w:t>_________________________</w:t>
      </w:r>
      <w:r>
        <w:rPr>
          <w:b/>
          <w:bCs/>
        </w:rPr>
        <w:t xml:space="preserve"> с ___.___.________ по ___.___._______</w:t>
      </w:r>
    </w:p>
    <w:p>
      <w:pPr>
        <w:pStyle w:val="Normal"/>
        <w:jc w:val="center"/>
        <w:rPr>
          <w:b/>
          <w:bCs/>
        </w:rPr>
      </w:pPr>
      <w:r>
        <w:rPr>
          <w:b/>
          <w:bCs/>
        </w:rPr>
      </w:r>
    </w:p>
    <w:tbl>
      <w:tblPr>
        <w:tblW w:w="15003" w:type="dxa"/>
        <w:jc w:val="left"/>
        <w:tblInd w:w="108" w:type="dxa"/>
        <w:tblLayout w:type="fixed"/>
        <w:tblCellMar>
          <w:top w:w="0" w:type="dxa"/>
          <w:left w:w="108" w:type="dxa"/>
          <w:bottom w:w="0" w:type="dxa"/>
          <w:right w:w="108" w:type="dxa"/>
        </w:tblCellMar>
        <w:tblLook w:val="0000" w:noHBand="0" w:noVBand="0" w:firstColumn="0" w:lastRow="0" w:lastColumn="0" w:firstRow="0"/>
      </w:tblPr>
      <w:tblGrid>
        <w:gridCol w:w="459"/>
        <w:gridCol w:w="2087"/>
        <w:gridCol w:w="1914"/>
        <w:gridCol w:w="701"/>
        <w:gridCol w:w="696"/>
        <w:gridCol w:w="696"/>
        <w:gridCol w:w="654"/>
        <w:gridCol w:w="605"/>
        <w:gridCol w:w="696"/>
        <w:gridCol w:w="696"/>
        <w:gridCol w:w="1409"/>
        <w:gridCol w:w="837"/>
        <w:gridCol w:w="972"/>
        <w:gridCol w:w="1046"/>
        <w:gridCol w:w="1535"/>
      </w:tblGrid>
      <w:tr>
        <w:trPr>
          <w:trHeight w:val="412" w:hRule="atLeast"/>
        </w:trPr>
        <w:tc>
          <w:tcPr>
            <w:tcW w:w="459" w:type="dxa"/>
            <w:vMerge w:val="restart"/>
            <w:tcBorders>
              <w:top w:val="single" w:sz="4" w:space="0" w:color="000000"/>
              <w:left w:val="single" w:sz="4" w:space="0" w:color="000000"/>
              <w:bottom w:val="single" w:sz="4" w:space="0" w:color="000000"/>
            </w:tcBorders>
            <w:shd w:color="auto" w:fill="auto" w:val="clear"/>
          </w:tcPr>
          <w:p>
            <w:pPr>
              <w:pStyle w:val="Normal"/>
              <w:widowControl w:val="false"/>
              <w:rPr/>
            </w:pPr>
            <w:r>
              <w:rPr>
                <w:sz w:val="18"/>
                <w:szCs w:val="18"/>
              </w:rPr>
              <w:t>№</w:t>
            </w:r>
          </w:p>
          <w:p>
            <w:pPr>
              <w:pStyle w:val="Normal"/>
              <w:widowControl w:val="false"/>
              <w:rPr/>
            </w:pPr>
            <w:r>
              <w:rPr>
                <w:sz w:val="18"/>
                <w:szCs w:val="18"/>
              </w:rPr>
              <w:t>п/п</w:t>
            </w:r>
          </w:p>
        </w:tc>
        <w:tc>
          <w:tcPr>
            <w:tcW w:w="2087" w:type="dxa"/>
            <w:vMerge w:val="restart"/>
            <w:tcBorders>
              <w:top w:val="single" w:sz="4" w:space="0" w:color="000000"/>
              <w:left w:val="single" w:sz="4" w:space="0" w:color="000000"/>
              <w:bottom w:val="single" w:sz="4" w:space="0" w:color="000000"/>
            </w:tcBorders>
            <w:shd w:color="auto" w:fill="auto" w:val="clear"/>
          </w:tcPr>
          <w:p>
            <w:pPr>
              <w:pStyle w:val="Normal"/>
              <w:widowControl w:val="false"/>
              <w:jc w:val="center"/>
              <w:rPr/>
            </w:pPr>
            <w:r>
              <w:rPr>
                <w:sz w:val="18"/>
                <w:szCs w:val="18"/>
              </w:rPr>
              <w:t>Наименование охраняемого объекта</w:t>
            </w:r>
          </w:p>
        </w:tc>
        <w:tc>
          <w:tcPr>
            <w:tcW w:w="1914" w:type="dxa"/>
            <w:vMerge w:val="restart"/>
            <w:tcBorders>
              <w:top w:val="single" w:sz="4" w:space="0" w:color="000000"/>
              <w:left w:val="single" w:sz="4" w:space="0" w:color="000000"/>
              <w:bottom w:val="single" w:sz="4" w:space="0" w:color="000000"/>
            </w:tcBorders>
            <w:shd w:color="auto" w:fill="auto" w:val="clear"/>
          </w:tcPr>
          <w:p>
            <w:pPr>
              <w:pStyle w:val="Normal"/>
              <w:widowControl w:val="false"/>
              <w:jc w:val="center"/>
              <w:rPr/>
            </w:pPr>
            <w:r>
              <w:rPr>
                <w:sz w:val="18"/>
                <w:szCs w:val="18"/>
              </w:rPr>
              <w:t>Адрес</w:t>
            </w:r>
          </w:p>
        </w:tc>
        <w:tc>
          <w:tcPr>
            <w:tcW w:w="6153" w:type="dxa"/>
            <w:gridSpan w:val="8"/>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p>
            <w:pPr>
              <w:pStyle w:val="Normal"/>
              <w:widowControl w:val="false"/>
              <w:jc w:val="center"/>
              <w:rPr/>
            </w:pPr>
            <w:r>
              <w:rPr>
                <w:sz w:val="18"/>
                <w:szCs w:val="18"/>
              </w:rPr>
              <w:t>Часы охраны</w:t>
            </w:r>
          </w:p>
          <w:p>
            <w:pPr>
              <w:pStyle w:val="Normal"/>
              <w:widowControl w:val="false"/>
              <w:jc w:val="center"/>
              <w:rPr>
                <w:sz w:val="18"/>
                <w:szCs w:val="18"/>
              </w:rPr>
            </w:pPr>
            <w:r>
              <w:rPr>
                <w:sz w:val="18"/>
                <w:szCs w:val="18"/>
              </w:rPr>
            </w:r>
          </w:p>
        </w:tc>
        <w:tc>
          <w:tcPr>
            <w:tcW w:w="837" w:type="dxa"/>
            <w:vMerge w:val="restart"/>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p>
            <w:pPr>
              <w:pStyle w:val="Normal"/>
              <w:widowControl w:val="false"/>
              <w:jc w:val="center"/>
              <w:rPr/>
            </w:pPr>
            <w:r>
              <w:rPr>
                <w:sz w:val="18"/>
                <w:szCs w:val="18"/>
              </w:rPr>
              <w:t>Кол. час. в мес.</w:t>
            </w:r>
          </w:p>
        </w:tc>
        <w:tc>
          <w:tcPr>
            <w:tcW w:w="972" w:type="dxa"/>
            <w:vMerge w:val="restart"/>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p>
            <w:pPr>
              <w:pStyle w:val="Normal"/>
              <w:widowControl w:val="false"/>
              <w:jc w:val="center"/>
              <w:rPr/>
            </w:pPr>
            <w:r>
              <w:rPr>
                <w:sz w:val="18"/>
                <w:szCs w:val="18"/>
              </w:rPr>
              <w:t>Цена за 1 час</w:t>
            </w:r>
          </w:p>
        </w:tc>
        <w:tc>
          <w:tcPr>
            <w:tcW w:w="1046" w:type="dxa"/>
            <w:vMerge w:val="restart"/>
            <w:tcBorders>
              <w:top w:val="single" w:sz="4" w:space="0" w:color="000000"/>
              <w:left w:val="single" w:sz="4" w:space="0" w:color="000000"/>
              <w:bottom w:val="single" w:sz="4" w:space="0" w:color="000000"/>
            </w:tcBorders>
            <w:shd w:color="auto" w:fill="auto" w:val="clear"/>
          </w:tcPr>
          <w:p>
            <w:pPr>
              <w:pStyle w:val="Normal"/>
              <w:widowControl w:val="false"/>
              <w:jc w:val="center"/>
              <w:rPr/>
            </w:pPr>
            <w:r>
              <w:rPr>
                <w:sz w:val="18"/>
                <w:szCs w:val="18"/>
              </w:rPr>
              <w:t>Стоимость в месяц (руб.)</w:t>
            </w:r>
          </w:p>
        </w:tc>
        <w:tc>
          <w:tcPr>
            <w:tcW w:w="153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ind w:hanging="0" w:right="459"/>
              <w:jc w:val="both"/>
              <w:rPr/>
            </w:pPr>
            <w:r>
              <w:rPr>
                <w:sz w:val="18"/>
                <w:szCs w:val="18"/>
              </w:rPr>
              <w:t>Стоимость в год (руб.)</w:t>
            </w:r>
          </w:p>
        </w:tc>
      </w:tr>
      <w:tr>
        <w:trPr>
          <w:trHeight w:val="357" w:hRule="atLeast"/>
        </w:trPr>
        <w:tc>
          <w:tcPr>
            <w:tcW w:w="459" w:type="dxa"/>
            <w:vMerge w:val="continue"/>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tc>
        <w:tc>
          <w:tcPr>
            <w:tcW w:w="2087" w:type="dxa"/>
            <w:vMerge w:val="continue"/>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tc>
        <w:tc>
          <w:tcPr>
            <w:tcW w:w="1914" w:type="dxa"/>
            <w:vMerge w:val="continue"/>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tc>
        <w:tc>
          <w:tcPr>
            <w:tcW w:w="701"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Пн.</w:t>
            </w:r>
          </w:p>
        </w:tc>
        <w:tc>
          <w:tcPr>
            <w:tcW w:w="696"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Вт.</w:t>
            </w:r>
          </w:p>
        </w:tc>
        <w:tc>
          <w:tcPr>
            <w:tcW w:w="696"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Ср.</w:t>
            </w:r>
          </w:p>
        </w:tc>
        <w:tc>
          <w:tcPr>
            <w:tcW w:w="654"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Чт.</w:t>
            </w:r>
          </w:p>
        </w:tc>
        <w:tc>
          <w:tcPr>
            <w:tcW w:w="605"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Пт.</w:t>
            </w:r>
          </w:p>
        </w:tc>
        <w:tc>
          <w:tcPr>
            <w:tcW w:w="696"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Сб.</w:t>
            </w:r>
          </w:p>
        </w:tc>
        <w:tc>
          <w:tcPr>
            <w:tcW w:w="696"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Вс.</w:t>
            </w:r>
          </w:p>
        </w:tc>
        <w:tc>
          <w:tcPr>
            <w:tcW w:w="1409" w:type="dxa"/>
            <w:tcBorders>
              <w:top w:val="single" w:sz="4" w:space="0" w:color="000000"/>
              <w:left w:val="single" w:sz="4" w:space="0" w:color="000000"/>
              <w:bottom w:val="single" w:sz="4" w:space="0" w:color="000000"/>
            </w:tcBorders>
            <w:shd w:color="auto" w:fill="auto" w:val="clear"/>
            <w:vAlign w:val="center"/>
          </w:tcPr>
          <w:p>
            <w:pPr>
              <w:pStyle w:val="Normal"/>
              <w:widowControl w:val="false"/>
              <w:rPr/>
            </w:pPr>
            <w:r>
              <w:rPr>
                <w:sz w:val="18"/>
                <w:szCs w:val="18"/>
              </w:rPr>
              <w:t>Праздничные</w:t>
            </w:r>
          </w:p>
        </w:tc>
        <w:tc>
          <w:tcPr>
            <w:tcW w:w="837" w:type="dxa"/>
            <w:vMerge w:val="continue"/>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tc>
        <w:tc>
          <w:tcPr>
            <w:tcW w:w="972" w:type="dxa"/>
            <w:vMerge w:val="continue"/>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tc>
        <w:tc>
          <w:tcPr>
            <w:tcW w:w="1046" w:type="dxa"/>
            <w:vMerge w:val="continue"/>
            <w:tcBorders>
              <w:top w:val="single" w:sz="4" w:space="0" w:color="000000"/>
              <w:left w:val="single" w:sz="4" w:space="0" w:color="000000"/>
              <w:bottom w:val="single" w:sz="4" w:space="0" w:color="000000"/>
            </w:tcBorders>
            <w:shd w:color="auto" w:fill="auto" w:val="clear"/>
          </w:tcPr>
          <w:p>
            <w:pPr>
              <w:pStyle w:val="Normal"/>
              <w:widowControl w:val="false"/>
              <w:snapToGrid w:val="false"/>
              <w:rPr>
                <w:sz w:val="18"/>
                <w:szCs w:val="18"/>
              </w:rPr>
            </w:pPr>
            <w:r>
              <w:rPr>
                <w:sz w:val="18"/>
                <w:szCs w:val="18"/>
              </w:rPr>
            </w:r>
          </w:p>
        </w:tc>
        <w:tc>
          <w:tcPr>
            <w:tcW w:w="15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napToGrid w:val="false"/>
              <w:rPr>
                <w:sz w:val="18"/>
                <w:szCs w:val="18"/>
              </w:rPr>
            </w:pPr>
            <w:r>
              <w:rPr>
                <w:sz w:val="18"/>
                <w:szCs w:val="18"/>
              </w:rPr>
            </w:r>
          </w:p>
        </w:tc>
      </w:tr>
      <w:tr>
        <w:trPr>
          <w:trHeight w:val="457" w:hRule="atLeast"/>
        </w:trPr>
        <w:tc>
          <w:tcPr>
            <w:tcW w:w="459" w:type="dxa"/>
            <w:tcBorders>
              <w:top w:val="single" w:sz="4" w:space="0" w:color="000000"/>
              <w:left w:val="single" w:sz="4" w:space="0" w:color="000000"/>
              <w:bottom w:val="single" w:sz="4" w:space="0" w:color="000000"/>
            </w:tcBorders>
            <w:shd w:color="auto" w:fill="auto" w:val="clear"/>
          </w:tcPr>
          <w:p>
            <w:pPr>
              <w:pStyle w:val="Normal"/>
              <w:widowControl w:val="false"/>
              <w:jc w:val="center"/>
              <w:rPr/>
            </w:pPr>
            <w:r>
              <w:rPr>
                <w:sz w:val="18"/>
                <w:szCs w:val="18"/>
              </w:rPr>
              <w:t>1</w:t>
            </w:r>
          </w:p>
        </w:tc>
        <w:tc>
          <w:tcPr>
            <w:tcW w:w="2087"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1914"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701"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54"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05"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1409"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837"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972"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104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153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napToGrid w:val="false"/>
              <w:jc w:val="center"/>
              <w:rPr>
                <w:sz w:val="18"/>
                <w:szCs w:val="18"/>
              </w:rPr>
            </w:pPr>
            <w:r>
              <w:rPr>
                <w:sz w:val="18"/>
                <w:szCs w:val="18"/>
              </w:rPr>
            </w:r>
          </w:p>
        </w:tc>
      </w:tr>
      <w:tr>
        <w:trPr>
          <w:trHeight w:val="457" w:hRule="atLeast"/>
        </w:trPr>
        <w:tc>
          <w:tcPr>
            <w:tcW w:w="459" w:type="dxa"/>
            <w:tcBorders>
              <w:top w:val="single" w:sz="4" w:space="0" w:color="000000"/>
              <w:left w:val="single" w:sz="4" w:space="0" w:color="000000"/>
              <w:bottom w:val="single" w:sz="4" w:space="0" w:color="000000"/>
            </w:tcBorders>
            <w:shd w:color="auto" w:fill="auto" w:val="clear"/>
          </w:tcPr>
          <w:p>
            <w:pPr>
              <w:pStyle w:val="Normal"/>
              <w:widowControl w:val="false"/>
              <w:jc w:val="center"/>
              <w:rPr/>
            </w:pPr>
            <w:r>
              <w:rPr>
                <w:sz w:val="18"/>
                <w:szCs w:val="18"/>
              </w:rPr>
              <w:t>2</w:t>
            </w:r>
          </w:p>
        </w:tc>
        <w:tc>
          <w:tcPr>
            <w:tcW w:w="2087"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1914"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701"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sz w:val="18"/>
                <w:szCs w:val="18"/>
              </w:rPr>
            </w:pPr>
            <w:r>
              <w:rPr>
                <w:sz w:val="18"/>
                <w:szCs w:val="18"/>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654"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605"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69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1409"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837"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both"/>
              <w:rPr/>
            </w:pPr>
            <w:r>
              <w:rPr/>
            </w:r>
          </w:p>
        </w:tc>
        <w:tc>
          <w:tcPr>
            <w:tcW w:w="972"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1046" w:type="dxa"/>
            <w:tcBorders>
              <w:top w:val="single" w:sz="4" w:space="0" w:color="000000"/>
              <w:left w:val="single" w:sz="4" w:space="0" w:color="000000"/>
              <w:bottom w:val="single" w:sz="4" w:space="0" w:color="000000"/>
            </w:tcBorders>
            <w:shd w:color="auto" w:fill="auto" w:val="clear"/>
          </w:tcPr>
          <w:p>
            <w:pPr>
              <w:pStyle w:val="Normal"/>
              <w:widowControl w:val="false"/>
              <w:snapToGrid w:val="false"/>
              <w:jc w:val="center"/>
              <w:rPr>
                <w:sz w:val="18"/>
                <w:szCs w:val="18"/>
              </w:rPr>
            </w:pPr>
            <w:r>
              <w:rPr>
                <w:sz w:val="18"/>
                <w:szCs w:val="18"/>
              </w:rPr>
            </w:r>
          </w:p>
        </w:tc>
        <w:tc>
          <w:tcPr>
            <w:tcW w:w="153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napToGrid w:val="false"/>
              <w:jc w:val="center"/>
              <w:rPr>
                <w:sz w:val="18"/>
                <w:szCs w:val="18"/>
              </w:rPr>
            </w:pPr>
            <w:r>
              <w:rPr>
                <w:sz w:val="18"/>
                <w:szCs w:val="18"/>
              </w:rPr>
            </w:r>
          </w:p>
        </w:tc>
      </w:tr>
      <w:tr>
        <w:trPr>
          <w:trHeight w:val="457" w:hRule="atLeast"/>
        </w:trPr>
        <w:tc>
          <w:tcPr>
            <w:tcW w:w="13468" w:type="dxa"/>
            <w:gridSpan w:val="14"/>
            <w:tcBorders>
              <w:top w:val="single" w:sz="4" w:space="0" w:color="000000"/>
              <w:left w:val="single" w:sz="4" w:space="0" w:color="000000"/>
              <w:bottom w:val="single" w:sz="4" w:space="0" w:color="000000"/>
            </w:tcBorders>
            <w:shd w:color="auto" w:fill="auto" w:val="clear"/>
          </w:tcPr>
          <w:p>
            <w:pPr>
              <w:pStyle w:val="Normal"/>
              <w:widowControl w:val="false"/>
              <w:spacing w:before="120" w:after="120"/>
              <w:jc w:val="center"/>
              <w:rPr/>
            </w:pPr>
            <w:r>
              <w:rPr>
                <w:sz w:val="18"/>
                <w:szCs w:val="18"/>
              </w:rPr>
              <w:t xml:space="preserve">                                                                                                                                                                                                                                                                                   </w:t>
            </w:r>
            <w:r>
              <w:rPr>
                <w:sz w:val="18"/>
                <w:szCs w:val="18"/>
              </w:rPr>
              <w:t>ИТОГО:</w:t>
            </w:r>
          </w:p>
        </w:tc>
        <w:tc>
          <w:tcPr>
            <w:tcW w:w="153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napToGrid w:val="false"/>
              <w:jc w:val="center"/>
              <w:rPr>
                <w:sz w:val="18"/>
                <w:szCs w:val="18"/>
              </w:rPr>
            </w:pPr>
            <w:r>
              <w:rPr>
                <w:sz w:val="18"/>
                <w:szCs w:val="18"/>
              </w:rPr>
            </w:r>
          </w:p>
        </w:tc>
      </w:tr>
    </w:tbl>
    <w:p>
      <w:pPr>
        <w:pStyle w:val="Normal"/>
        <w:jc w:val="center"/>
        <w:rPr>
          <w:b/>
          <w:bCs/>
        </w:rPr>
      </w:pPr>
      <w:r>
        <w:rPr>
          <w:b/>
          <w:bCs/>
        </w:rPr>
      </w:r>
    </w:p>
    <w:p>
      <w:pPr>
        <w:pStyle w:val="Normal"/>
        <w:rPr/>
      </w:pPr>
      <w:r>
        <w:rPr/>
      </w:r>
    </w:p>
    <w:p>
      <w:pPr>
        <w:pStyle w:val="Normal"/>
        <w:rPr/>
      </w:pPr>
      <w:r>
        <w:rPr/>
      </w:r>
    </w:p>
    <w:p>
      <w:pPr>
        <w:pStyle w:val="Normal"/>
        <w:rPr/>
      </w:pPr>
      <w:r>
        <w:rPr/>
        <w:t>Стоимость ложного выезда составляет _____ руб.</w:t>
      </w:r>
    </w:p>
    <w:p>
      <w:pPr>
        <w:pStyle w:val="Normal"/>
        <w:ind w:hanging="0" w:left="720"/>
        <w:rPr/>
      </w:pPr>
      <w:r>
        <w:rPr/>
      </w:r>
    </w:p>
    <w:p>
      <w:pPr>
        <w:pStyle w:val="Normal"/>
        <w:rPr/>
      </w:pPr>
      <w:r>
        <w:rPr/>
      </w:r>
    </w:p>
    <w:p>
      <w:pPr>
        <w:pStyle w:val="Normal"/>
        <w:rPr/>
      </w:pPr>
      <w:r>
        <w:rPr/>
      </w:r>
    </w:p>
    <w:p>
      <w:pPr>
        <w:pStyle w:val="Normal"/>
        <w:rPr/>
      </w:pPr>
      <w:r>
        <w:rPr/>
      </w:r>
    </w:p>
    <w:p>
      <w:pPr>
        <w:pStyle w:val="Normal"/>
        <w:rPr/>
      </w:pPr>
      <w:r>
        <w:rPr/>
      </w:r>
    </w:p>
    <w:sectPr>
      <w:headerReference w:type="default" r:id="rId5"/>
      <w:headerReference w:type="first" r:id="rId6"/>
      <w:type w:val="nextPage"/>
      <w:pgSz w:orient="landscape" w:w="16838" w:h="11906"/>
      <w:pgMar w:left="1134" w:right="1134" w:gutter="0" w:header="709" w:top="1701" w:footer="0" w:bottom="851"/>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Arial">
    <w:charset w:val="01"/>
    <w:family w:val="swiss"/>
    <w:pitch w:val="default"/>
  </w:font>
  <w:font w:name="PT Sans">
    <w:charset w:val="01"/>
    <w:family w:val="roman"/>
    <w:pitch w:val="default"/>
  </w:font>
  <w:font w:name="PT Astra Serif">
    <w:charset w:val="01"/>
    <w:family w:val="roman"/>
    <w:pitch w:val="default"/>
  </w:font>
  <w:font w:name="Courier New">
    <w:charset w:val="01"/>
    <w:family w:val="roman"/>
    <w:pitch w:val="default"/>
  </w:font>
  <w:font w:name="PT Astra Serif">
    <w:altName w:val="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fldChar w:fldCharType="begin"/>
    </w:r>
    <w:r>
      <w:rPr/>
      <w:instrText xml:space="preserve"> PAGE </w:instrText>
    </w:r>
    <w:r>
      <w:rPr/>
      <w:fldChar w:fldCharType="separate"/>
    </w:r>
    <w:r>
      <w:rPr/>
      <w:t>13</w:t>
    </w:r>
    <w:r>
      <w:rPr/>
      <w:fldChar w:fldCharType="end"/>
    </w:r>
  </w:p>
  <w:p>
    <w:pPr>
      <w:pStyle w:val="Header"/>
      <w:rPr>
        <w:rFonts w:ascii="Times New Roman" w:hAnsi="Times New Roman" w:eastAsia="Times New Roman" w:cs="Times New Roman"/>
        <w:color w:val="auto"/>
        <w:kern w:val="0"/>
        <w:sz w:val="22"/>
        <w:szCs w:val="22"/>
        <w:lang w:val="ru-RU" w:eastAsia="zh-CN" w:bidi="ar-SA"/>
      </w:rPr>
    </w:pPr>
    <w:r>
      <w:rPr>
        <w:rFonts w:eastAsia="Times New Roman" w:cs="Times New Roman"/>
        <w:color w:val="auto"/>
        <w:kern w:val="0"/>
        <w:sz w:val="22"/>
        <w:szCs w:val="22"/>
        <w:lang w:val="ru-RU" w:eastAsia="zh-CN" w:bidi="ar-SA"/>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fldChar w:fldCharType="begin"/>
    </w:r>
    <w:r>
      <w:rPr/>
      <w:instrText xml:space="preserve"> PAGE </w:instrText>
    </w:r>
    <w:r>
      <w:rPr/>
      <w:fldChar w:fldCharType="separate"/>
    </w:r>
    <w:r>
      <w:rPr/>
      <w:t>3</w:t>
    </w:r>
    <w:r>
      <w:rP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fldChar w:fldCharType="begin"/>
    </w:r>
    <w:r>
      <w:rPr/>
      <w:instrText xml:space="preserve"> PAGE </w:instrText>
    </w:r>
    <w:r>
      <w:rPr/>
      <w:fldChar w:fldCharType="separate"/>
    </w:r>
    <w:r>
      <w:rPr/>
      <w:t>14</w:t>
    </w:r>
    <w:r>
      <w:rPr/>
      <w:fldChar w:fldCharType="end"/>
    </w:r>
  </w:p>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936"/>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uiPriority="10" w:semiHidden="0" w:unhideWhenUsed="0" w:qFormat="1"/>
    <w:lsdException w:name="Default Paragraph Font" w:uiPriority="1"/>
    <w:lsdException w:name="Body Text" w:uiPriority="0"/>
    <w:lsdException w:name="Body Text Inden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f6ae6"/>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Heading1">
    <w:name w:val="heading 1"/>
    <w:basedOn w:val="Normal"/>
    <w:next w:val="Normal"/>
    <w:link w:val="1"/>
    <w:qFormat/>
    <w:rsid w:val="000f6ae6"/>
    <w:pPr>
      <w:keepNext w:val="true"/>
      <w:jc w:val="center"/>
      <w:outlineLvl w:val="0"/>
    </w:pPr>
    <w:rPr>
      <w:sz w:val="28"/>
      <w:lang w:val="en-US"/>
    </w:rPr>
  </w:style>
  <w:style w:type="character" w:styleId="DefaultParagraphFont" w:default="1">
    <w:name w:val="Default Paragraph Font"/>
    <w:uiPriority w:val="1"/>
    <w:semiHidden/>
    <w:unhideWhenUsed/>
    <w:qFormat/>
    <w:rPr/>
  </w:style>
  <w:style w:type="character" w:styleId="1" w:customStyle="1">
    <w:name w:val="Заголовок 1 Знак"/>
    <w:basedOn w:val="DefaultParagraphFont"/>
    <w:qFormat/>
    <w:rsid w:val="000f6ae6"/>
    <w:rPr>
      <w:rFonts w:ascii="Times New Roman" w:hAnsi="Times New Roman" w:eastAsia="Times New Roman" w:cs="Times New Roman"/>
      <w:sz w:val="28"/>
      <w:szCs w:val="20"/>
      <w:lang w:val="en-US" w:eastAsia="zh-CN"/>
    </w:rPr>
  </w:style>
  <w:style w:type="character" w:styleId="blk" w:customStyle="1">
    <w:name w:val="blk"/>
    <w:qFormat/>
    <w:rsid w:val="000f6ae6"/>
    <w:rPr>
      <w:rFonts w:cs="Times New Roman"/>
    </w:rPr>
  </w:style>
  <w:style w:type="character" w:styleId="Style13" w:customStyle="1">
    <w:name w:val="Основной текст Знак"/>
    <w:basedOn w:val="DefaultParagraphFont"/>
    <w:qFormat/>
    <w:rsid w:val="000f6ae6"/>
    <w:rPr>
      <w:rFonts w:ascii="Times New Roman" w:hAnsi="Times New Roman" w:eastAsia="Times New Roman" w:cs="Times New Roman"/>
      <w:b/>
      <w:sz w:val="28"/>
      <w:szCs w:val="20"/>
      <w:lang w:eastAsia="zh-CN"/>
    </w:rPr>
  </w:style>
  <w:style w:type="character" w:styleId="Style14" w:customStyle="1">
    <w:name w:val="Верхний колонтитул Знак"/>
    <w:basedOn w:val="DefaultParagraphFont"/>
    <w:qFormat/>
    <w:rsid w:val="000f6ae6"/>
    <w:rPr>
      <w:rFonts w:ascii="Times New Roman" w:hAnsi="Times New Roman" w:eastAsia="Times New Roman" w:cs="Times New Roman"/>
      <w:sz w:val="20"/>
      <w:szCs w:val="20"/>
      <w:lang w:eastAsia="zh-CN"/>
    </w:rPr>
  </w:style>
  <w:style w:type="character" w:styleId="Style15" w:customStyle="1">
    <w:name w:val="Основной текст с отступом Знак"/>
    <w:basedOn w:val="DefaultParagraphFont"/>
    <w:qFormat/>
    <w:rsid w:val="000f6ae6"/>
    <w:rPr>
      <w:rFonts w:ascii="Arial" w:hAnsi="Arial" w:eastAsia="Times New Roman" w:cs="Arial"/>
      <w:sz w:val="20"/>
      <w:szCs w:val="20"/>
      <w:lang w:eastAsia="zh-CN"/>
    </w:rPr>
  </w:style>
  <w:style w:type="character" w:styleId="Style16">
    <w:name w:val="Символ сноски"/>
    <w:qFormat/>
    <w:rPr>
      <w:vertAlign w:val="superscript"/>
    </w:rPr>
  </w:style>
  <w:style w:type="character" w:styleId="FootnoteReference">
    <w:name w:val="footnote reference"/>
    <w:rPr>
      <w:vertAlign w:val="superscript"/>
    </w:rPr>
  </w:style>
  <w:style w:type="character" w:styleId="Style17">
    <w:name w:val="Символ концевой сноски"/>
    <w:qFormat/>
    <w:rPr>
      <w:vertAlign w:val="superscript"/>
    </w:rPr>
  </w:style>
  <w:style w:type="character" w:styleId="EndnoteReference">
    <w:name w:val="endnote reference"/>
    <w:rPr>
      <w:vertAlign w:val="superscript"/>
    </w:rPr>
  </w:style>
  <w:style w:type="character" w:styleId="Style18">
    <w:name w:val="Символ нумерации"/>
    <w:qFormat/>
    <w:rPr/>
  </w:style>
  <w:style w:type="paragraph" w:styleId="Style19" w:customStyle="1">
    <w:name w:val="Заголовок"/>
    <w:basedOn w:val="Normal"/>
    <w:next w:val="BodyText"/>
    <w:qFormat/>
    <w:rsid w:val="007d7361"/>
    <w:pPr>
      <w:keepNext w:val="true"/>
      <w:spacing w:before="240" w:after="120"/>
    </w:pPr>
    <w:rPr>
      <w:rFonts w:ascii="PT Sans" w:hAnsi="PT Sans" w:eastAsia="Tahoma" w:cs="Noto Sans Devanagari"/>
      <w:sz w:val="28"/>
      <w:szCs w:val="28"/>
    </w:rPr>
  </w:style>
  <w:style w:type="paragraph" w:styleId="BodyText">
    <w:name w:val="Body Text"/>
    <w:basedOn w:val="Normal"/>
    <w:rsid w:val="000f6ae6"/>
    <w:pPr>
      <w:jc w:val="center"/>
    </w:pPr>
    <w:rPr>
      <w:b/>
      <w:sz w:val="28"/>
    </w:rPr>
  </w:style>
  <w:style w:type="paragraph" w:styleId="List">
    <w:name w:val="List"/>
    <w:basedOn w:val="BodyText"/>
    <w:rsid w:val="007d7361"/>
    <w:pPr/>
    <w:rPr>
      <w:rFonts w:ascii="PT Sans" w:hAnsi="PT Sans"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caption1">
    <w:name w:val="caption1"/>
    <w:basedOn w:val="Normal"/>
    <w:qFormat/>
    <w:rsid w:val="007d7361"/>
    <w:pPr>
      <w:suppressLineNumbers/>
      <w:spacing w:before="120" w:after="120"/>
    </w:pPr>
    <w:rPr>
      <w:rFonts w:ascii="PT Sans" w:hAnsi="PT Sans" w:cs="Noto Sans Devanagari"/>
      <w:i/>
      <w:iCs/>
      <w:sz w:val="24"/>
      <w:szCs w:val="24"/>
    </w:rPr>
  </w:style>
  <w:style w:type="paragraph" w:styleId="IndexHeading">
    <w:name w:val="index heading"/>
    <w:basedOn w:val="Normal"/>
    <w:qFormat/>
    <w:rsid w:val="007d7361"/>
    <w:pPr>
      <w:suppressLineNumbers/>
    </w:pPr>
    <w:rPr>
      <w:rFonts w:ascii="PT Sans" w:hAnsi="PT Sans" w:cs="Noto Sans Devanagari"/>
    </w:rPr>
  </w:style>
  <w:style w:type="paragraph" w:styleId="Style21" w:customStyle="1">
    <w:name w:val="Верхний и нижний колонтитулы"/>
    <w:basedOn w:val="Normal"/>
    <w:qFormat/>
    <w:rsid w:val="007d7361"/>
    <w:pPr/>
    <w:rPr/>
  </w:style>
  <w:style w:type="paragraph" w:styleId="Style22">
    <w:name w:val="Колонтитул"/>
    <w:basedOn w:val="Normal"/>
    <w:qFormat/>
    <w:pPr/>
    <w:rPr/>
  </w:style>
  <w:style w:type="paragraph" w:styleId="HeaderandFooter">
    <w:name w:val="Header and Footer"/>
    <w:basedOn w:val="Normal"/>
    <w:qFormat/>
    <w:pPr/>
    <w:rPr/>
  </w:style>
  <w:style w:type="paragraph" w:styleId="Header">
    <w:name w:val="header"/>
    <w:basedOn w:val="Normal"/>
    <w:rsid w:val="000f6ae6"/>
    <w:pPr>
      <w:tabs>
        <w:tab w:val="clear" w:pos="936"/>
        <w:tab w:val="center" w:pos="4677" w:leader="none"/>
        <w:tab w:val="right" w:pos="9355" w:leader="none"/>
      </w:tabs>
    </w:pPr>
    <w:rPr/>
  </w:style>
  <w:style w:type="paragraph" w:styleId="BodyTextIndent">
    <w:name w:val="Body Text Indent"/>
    <w:basedOn w:val="Normal"/>
    <w:rsid w:val="000f6ae6"/>
    <w:pPr>
      <w:widowControl w:val="false"/>
      <w:spacing w:before="0" w:after="120"/>
      <w:ind w:hanging="0" w:left="283"/>
    </w:pPr>
    <w:rPr>
      <w:rFonts w:ascii="Arial" w:hAnsi="Arial" w:cs="Arial"/>
    </w:rPr>
  </w:style>
  <w:style w:type="paragraph" w:styleId="11" w:customStyle="1">
    <w:name w:val="Текст1"/>
    <w:basedOn w:val="Normal"/>
    <w:qFormat/>
    <w:rsid w:val="000f6ae6"/>
    <w:pPr/>
    <w:rPr>
      <w:rFonts w:ascii="Courier New" w:hAnsi="Courier New" w:cs="Courier New"/>
    </w:rPr>
  </w:style>
  <w:style w:type="paragraph" w:styleId="LO-Normal" w:customStyle="1">
    <w:name w:val="LO-Normal"/>
    <w:qFormat/>
    <w:rsid w:val="000f6ae6"/>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31" w:customStyle="1">
    <w:name w:val="Основной текст с отступом 31"/>
    <w:basedOn w:val="Normal"/>
    <w:qFormat/>
    <w:rsid w:val="000f6ae6"/>
    <w:pPr>
      <w:spacing w:before="0" w:after="120"/>
      <w:ind w:hanging="0" w:left="283"/>
    </w:pPr>
    <w:rPr>
      <w:sz w:val="16"/>
      <w:szCs w:val="16"/>
    </w:rPr>
  </w:style>
  <w:style w:type="paragraph" w:styleId="21" w:customStyle="1">
    <w:name w:val="Основной текст с отступом 21"/>
    <w:basedOn w:val="Normal"/>
    <w:qFormat/>
    <w:rsid w:val="000f6ae6"/>
    <w:pPr>
      <w:spacing w:lineRule="auto" w:line="480" w:before="0" w:after="120"/>
      <w:ind w:hanging="0" w:left="283"/>
    </w:pPr>
    <w:rPr/>
  </w:style>
  <w:style w:type="paragraph" w:styleId="311" w:customStyle="1">
    <w:name w:val="Основной текст 31"/>
    <w:basedOn w:val="Normal"/>
    <w:qFormat/>
    <w:rsid w:val="000f6ae6"/>
    <w:pPr>
      <w:spacing w:before="0" w:after="120"/>
    </w:pPr>
    <w:rPr>
      <w:sz w:val="16"/>
      <w:szCs w:val="16"/>
    </w:rPr>
  </w:style>
  <w:style w:type="paragraph" w:styleId="NoSpacing">
    <w:name w:val="No Spacing"/>
    <w:qFormat/>
    <w:rsid w:val="000f6ae6"/>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2" w:customStyle="1">
    <w:name w:val="Текст2"/>
    <w:basedOn w:val="Normal"/>
    <w:qFormat/>
    <w:rsid w:val="000f6ae6"/>
    <w:pPr>
      <w:spacing w:before="0" w:after="240"/>
    </w:pPr>
    <w:rPr>
      <w:sz w:val="24"/>
      <w:lang w:val="en-US"/>
    </w:rPr>
  </w:style>
  <w:style w:type="paragraph" w:styleId="Standard">
    <w:name w:val="Standard"/>
    <w:qFormat/>
    <w:pPr>
      <w:widowControl w:val="false"/>
      <w:suppressAutoHyphens w:val="true"/>
      <w:bidi w:val="0"/>
      <w:spacing w:before="0" w:after="0"/>
      <w:jc w:val="center"/>
      <w:textAlignment w:val="baseline"/>
    </w:pPr>
    <w:rPr>
      <w:rFonts w:ascii="PT Astra Serif;Times New Roman" w:hAnsi="PT Astra Serif;Times New Roman" w:eastAsia="PT Astra Serif;Times New Roman" w:cs="PT Astra Serif;Times New Roman"/>
      <w:color w:val="auto"/>
      <w:kern w:val="2"/>
      <w:sz w:val="28"/>
      <w:szCs w:val="24"/>
      <w:lang w:val="ru-RU" w:eastAsia="zh-CN" w:bidi="ar-SA"/>
    </w:rPr>
  </w:style>
  <w:style w:type="paragraph" w:styleId="Title">
    <w:name w:val="Title"/>
    <w:basedOn w:val="Normal"/>
    <w:qFormat/>
    <w:pPr>
      <w:jc w:val="center"/>
    </w:pPr>
    <w:rPr>
      <w:b/>
      <w:sz w:val="32"/>
    </w:rPr>
  </w:style>
  <w:style w:type="paragraph" w:styleId="ConsPlusNormal">
    <w:name w:val="ConsPlusNormal"/>
    <w:qFormat/>
    <w:pPr>
      <w:widowControl w:val="false"/>
      <w:suppressAutoHyphens w:val="true"/>
      <w:bidi w:val="0"/>
      <w:spacing w:lineRule="auto" w:line="240" w:before="0" w:after="0"/>
      <w:ind w:firstLine="720"/>
      <w:jc w:val="left"/>
    </w:pPr>
    <w:rPr>
      <w:rFonts w:ascii="Arial" w:hAnsi="Arial" w:eastAsia="Calibri" w:cs="Arial" w:eastAsiaTheme="minorHAnsi"/>
      <w:color w:val="auto"/>
      <w:kern w:val="0"/>
      <w:sz w:val="24"/>
      <w:szCs w:val="22"/>
      <w:lang w:val="ru-RU" w:eastAsia="ru-RU" w:bidi="ar-SA"/>
    </w:rPr>
  </w:style>
  <w:style w:type="numbering" w:styleId="Style23"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1688</TotalTime>
  <Application>LibreOffice/24.8.4.2$Linux_X86_64 LibreOffice_project/480$Build-2</Application>
  <AppVersion>15.0000</AppVersion>
  <DocSecurity>8</DocSecurity>
  <Pages>12</Pages>
  <Words>4934</Words>
  <Characters>35768</Characters>
  <CharactersWithSpaces>41339</CharactersWithSpaces>
  <Paragraphs>221</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2022-05-05T11:59:00Z</dcterms:created>
  <dc:creator>RePack by SPecialiST</dc:creator>
  <dc:description/>
  <dc:language>ru-RU</dc:language>
  <cp:lastModifiedBy/>
  <cp:lastPrinted>2024-11-28T10:59:55Z</cp:lastPrinted>
  <dcterms:modified xsi:type="dcterms:W3CDTF">2024-12-12T15:44:47Z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